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0DA" w:rsidRPr="00B51D62" w:rsidRDefault="00C620DA" w:rsidP="00C620DA">
      <w:pPr>
        <w:pStyle w:val="Title"/>
        <w:rPr>
          <w:sz w:val="24"/>
          <w:szCs w:val="24"/>
        </w:rPr>
      </w:pPr>
      <w:r>
        <w:rPr>
          <w:sz w:val="24"/>
          <w:szCs w:val="24"/>
        </w:rPr>
        <w:t>REPORTING</w:t>
      </w:r>
    </w:p>
    <w:p w:rsidR="00C620DA" w:rsidRPr="00C620DA" w:rsidRDefault="00C620DA" w:rsidP="00C620DA">
      <w:pPr>
        <w:spacing w:after="0" w:line="240" w:lineRule="auto"/>
        <w:jc w:val="both"/>
        <w:rPr>
          <w:rFonts w:ascii="Times New Roman" w:hAnsi="Times New Roman" w:cs="Times New Roman"/>
          <w:i/>
        </w:rPr>
      </w:pPr>
    </w:p>
    <w:p w:rsidR="002E2CD3" w:rsidRDefault="00C620DA" w:rsidP="00C620DA">
      <w:pPr>
        <w:spacing w:after="0" w:line="240" w:lineRule="auto"/>
        <w:jc w:val="both"/>
        <w:rPr>
          <w:rFonts w:ascii="Times New Roman" w:hAnsi="Times New Roman" w:cs="Times New Roman"/>
          <w:color w:val="0000FF"/>
        </w:rPr>
      </w:pPr>
      <w:r w:rsidRPr="00F40B6B">
        <w:rPr>
          <w:rFonts w:ascii="Times New Roman" w:hAnsi="Times New Roman" w:cs="Times New Roman"/>
          <w:color w:val="0000FF"/>
          <w:u w:val="single"/>
        </w:rPr>
        <w:t>INSTRUCTIONS TO PREPARER</w:t>
      </w:r>
      <w:r w:rsidRPr="00A45C06">
        <w:rPr>
          <w:rFonts w:ascii="Times New Roman" w:hAnsi="Times New Roman" w:cs="Times New Roman"/>
          <w:color w:val="0000FF"/>
        </w:rPr>
        <w:t>:</w:t>
      </w:r>
      <w:r>
        <w:rPr>
          <w:rFonts w:ascii="Times New Roman" w:hAnsi="Times New Roman" w:cs="Times New Roman"/>
          <w:color w:val="0000FF"/>
        </w:rPr>
        <w:t xml:space="preserve">  </w:t>
      </w:r>
      <w:r w:rsidR="002E2CD3" w:rsidRPr="00C620DA">
        <w:rPr>
          <w:rFonts w:ascii="Times New Roman" w:hAnsi="Times New Roman" w:cs="Times New Roman"/>
          <w:color w:val="0000FF"/>
        </w:rPr>
        <w:t xml:space="preserve">The instructions below assume the plan </w:t>
      </w:r>
      <w:r w:rsidR="002E2CD3" w:rsidRPr="00C620DA">
        <w:rPr>
          <w:rFonts w:ascii="Times New Roman" w:hAnsi="Times New Roman" w:cs="Times New Roman"/>
          <w:b/>
          <w:color w:val="0000FF"/>
          <w:u w:val="single"/>
        </w:rPr>
        <w:t>is</w:t>
      </w:r>
      <w:r w:rsidR="002E2CD3" w:rsidRPr="00C620DA">
        <w:rPr>
          <w:rFonts w:ascii="Times New Roman" w:hAnsi="Times New Roman" w:cs="Times New Roman"/>
          <w:color w:val="0000FF"/>
        </w:rPr>
        <w:t xml:space="preserve"> administered through a qualifying trust and there is </w:t>
      </w:r>
      <w:r w:rsidR="002E2CD3" w:rsidRPr="00C620DA">
        <w:rPr>
          <w:rFonts w:ascii="Times New Roman" w:hAnsi="Times New Roman" w:cs="Times New Roman"/>
          <w:color w:val="0000FF"/>
          <w:u w:val="single"/>
        </w:rPr>
        <w:t>no special funding situation</w:t>
      </w:r>
      <w:r w:rsidR="002E2CD3" w:rsidRPr="00C620DA">
        <w:rPr>
          <w:rFonts w:ascii="Times New Roman" w:hAnsi="Times New Roman" w:cs="Times New Roman"/>
          <w:color w:val="0000FF"/>
        </w:rPr>
        <w:t xml:space="preserve">.  See paragraphs 47 through 58 of </w:t>
      </w:r>
      <w:r w:rsidR="00F45F9B" w:rsidRPr="00C620DA">
        <w:rPr>
          <w:rFonts w:ascii="Times New Roman" w:hAnsi="Times New Roman" w:cs="Times New Roman"/>
          <w:color w:val="0000FF"/>
        </w:rPr>
        <w:t xml:space="preserve">GASB </w:t>
      </w:r>
      <w:r>
        <w:rPr>
          <w:rFonts w:ascii="Times New Roman" w:hAnsi="Times New Roman" w:cs="Times New Roman"/>
          <w:color w:val="0000FF"/>
        </w:rPr>
        <w:t>Statement</w:t>
      </w:r>
      <w:r w:rsidR="00F45F9B" w:rsidRPr="00C620DA">
        <w:rPr>
          <w:rFonts w:ascii="Times New Roman" w:hAnsi="Times New Roman" w:cs="Times New Roman"/>
          <w:color w:val="0000FF"/>
        </w:rPr>
        <w:t xml:space="preserve"> 75.</w:t>
      </w:r>
    </w:p>
    <w:p w:rsidR="00C620DA" w:rsidRPr="00C620DA" w:rsidRDefault="00C620DA" w:rsidP="00C620DA">
      <w:pPr>
        <w:spacing w:after="0" w:line="240" w:lineRule="auto"/>
        <w:jc w:val="both"/>
        <w:rPr>
          <w:rFonts w:ascii="Times New Roman" w:hAnsi="Times New Roman" w:cs="Times New Roman"/>
          <w:color w:val="0000FF"/>
        </w:rPr>
      </w:pPr>
    </w:p>
    <w:p w:rsidR="00365DBA" w:rsidRPr="00C620DA" w:rsidRDefault="00365DBA" w:rsidP="00C620DA">
      <w:pPr>
        <w:spacing w:after="0" w:line="240" w:lineRule="auto"/>
        <w:jc w:val="both"/>
        <w:rPr>
          <w:rFonts w:ascii="Times New Roman" w:hAnsi="Times New Roman" w:cs="Times New Roman"/>
          <w:color w:val="0000FF"/>
        </w:rPr>
      </w:pPr>
      <w:r w:rsidRPr="00C620DA">
        <w:rPr>
          <w:rFonts w:ascii="Times New Roman" w:hAnsi="Times New Roman" w:cs="Times New Roman"/>
          <w:color w:val="0000FF"/>
        </w:rPr>
        <w:t>If applicable, the notes should separately identify amounts for the primary government (including blended component units) from amounts for discretely presented component units.</w:t>
      </w:r>
    </w:p>
    <w:p w:rsidR="00C620DA" w:rsidRDefault="00C620DA" w:rsidP="00C620DA">
      <w:pPr>
        <w:spacing w:after="0" w:line="240" w:lineRule="auto"/>
        <w:jc w:val="both"/>
        <w:rPr>
          <w:rFonts w:ascii="Times New Roman" w:hAnsi="Times New Roman" w:cs="Times New Roman"/>
          <w:b/>
        </w:rPr>
      </w:pPr>
    </w:p>
    <w:p w:rsidR="00F45F9B" w:rsidRPr="00C620DA" w:rsidRDefault="00F45F9B" w:rsidP="00C620DA">
      <w:pPr>
        <w:spacing w:after="0" w:line="240" w:lineRule="auto"/>
        <w:jc w:val="both"/>
        <w:rPr>
          <w:rFonts w:ascii="Times New Roman" w:hAnsi="Times New Roman" w:cs="Times New Roman"/>
          <w:b/>
          <w:u w:val="single"/>
        </w:rPr>
      </w:pPr>
      <w:r w:rsidRPr="00C620DA">
        <w:rPr>
          <w:rFonts w:ascii="Times New Roman" w:hAnsi="Times New Roman" w:cs="Times New Roman"/>
          <w:b/>
          <w:u w:val="single"/>
        </w:rPr>
        <w:t>Note X – Defined Benefit Other Postemployment Benefit (OPEB) Plans</w:t>
      </w:r>
    </w:p>
    <w:p w:rsidR="00C620DA" w:rsidRPr="00C620DA" w:rsidRDefault="00C620DA" w:rsidP="00C620DA">
      <w:pPr>
        <w:spacing w:after="0" w:line="240" w:lineRule="auto"/>
        <w:jc w:val="both"/>
        <w:rPr>
          <w:rFonts w:ascii="Times New Roman" w:hAnsi="Times New Roman" w:cs="Times New Roman"/>
          <w:b/>
        </w:rPr>
      </w:pPr>
    </w:p>
    <w:p w:rsidR="004A4C05" w:rsidRPr="00C620DA" w:rsidRDefault="004A4C05" w:rsidP="00C620DA">
      <w:pPr>
        <w:spacing w:after="0" w:line="240" w:lineRule="auto"/>
        <w:jc w:val="both"/>
        <w:rPr>
          <w:rFonts w:ascii="Times New Roman" w:hAnsi="Times New Roman" w:cs="Times New Roman"/>
          <w:i/>
        </w:rPr>
      </w:pPr>
      <w:r w:rsidRPr="00C620DA">
        <w:rPr>
          <w:rFonts w:ascii="Times New Roman" w:hAnsi="Times New Roman" w:cs="Times New Roman"/>
          <w:i/>
        </w:rPr>
        <w:t>The following table represents the aggregate OPEB amounts for all plans subject to the requirements of GASB</w:t>
      </w:r>
      <w:r w:rsidR="00C620DA" w:rsidRPr="00C620DA">
        <w:rPr>
          <w:rFonts w:ascii="Times New Roman" w:hAnsi="Times New Roman" w:cs="Times New Roman"/>
          <w:i/>
        </w:rPr>
        <w:t>S</w:t>
      </w:r>
      <w:r w:rsidRPr="00C620DA">
        <w:rPr>
          <w:rFonts w:ascii="Times New Roman" w:hAnsi="Times New Roman" w:cs="Times New Roman"/>
          <w:i/>
        </w:rPr>
        <w:t xml:space="preserve"> 75 for the year 20</w:t>
      </w:r>
      <w:r w:rsidR="00C620DA" w:rsidRPr="00C620DA">
        <w:rPr>
          <w:rFonts w:ascii="Times New Roman" w:hAnsi="Times New Roman" w:cs="Times New Roman"/>
          <w:i/>
        </w:rPr>
        <w:t>__</w:t>
      </w:r>
      <w:r w:rsidRPr="00C620DA">
        <w:rPr>
          <w:rFonts w:ascii="Times New Roman" w:hAnsi="Times New Roman" w:cs="Times New Roman"/>
          <w:i/>
        </w:rPr>
        <w:t>:</w:t>
      </w:r>
    </w:p>
    <w:p w:rsidR="004A4C05" w:rsidRPr="00C620DA" w:rsidRDefault="004A4C05" w:rsidP="00C620DA">
      <w:pPr>
        <w:autoSpaceDE w:val="0"/>
        <w:autoSpaceDN w:val="0"/>
        <w:adjustRightInd w:val="0"/>
        <w:spacing w:after="0" w:line="240" w:lineRule="auto"/>
        <w:jc w:val="both"/>
        <w:rPr>
          <w:rFonts w:ascii="Times New Roman" w:hAnsi="Times New Roman" w:cs="Times New Roman"/>
          <w:i/>
        </w:rPr>
      </w:pPr>
    </w:p>
    <w:tbl>
      <w:tblPr>
        <w:tblStyle w:val="TableGrid"/>
        <w:tblW w:w="0" w:type="auto"/>
        <w:tblInd w:w="1458" w:type="dxa"/>
        <w:tblLook w:val="04A0" w:firstRow="1" w:lastRow="0" w:firstColumn="1" w:lastColumn="0" w:noHBand="0" w:noVBand="1"/>
      </w:tblPr>
      <w:tblGrid>
        <w:gridCol w:w="3330"/>
        <w:gridCol w:w="2790"/>
      </w:tblGrid>
      <w:tr w:rsidR="00C620DA" w:rsidRPr="00C620DA" w:rsidTr="00FC5CC0">
        <w:tc>
          <w:tcPr>
            <w:tcW w:w="6120" w:type="dxa"/>
            <w:gridSpan w:val="2"/>
            <w:shd w:val="clear" w:color="auto" w:fill="D5DCE4" w:themeFill="text2" w:themeFillTint="33"/>
          </w:tcPr>
          <w:p w:rsidR="004A4C05" w:rsidRPr="00C620DA" w:rsidRDefault="004A4C05" w:rsidP="00C620DA">
            <w:pPr>
              <w:autoSpaceDE w:val="0"/>
              <w:autoSpaceDN w:val="0"/>
              <w:adjustRightInd w:val="0"/>
              <w:jc w:val="center"/>
              <w:rPr>
                <w:rFonts w:ascii="Times New Roman" w:hAnsi="Times New Roman" w:cs="Times New Roman"/>
                <w:b/>
                <w:i/>
              </w:rPr>
            </w:pPr>
            <w:r w:rsidRPr="00C620DA">
              <w:rPr>
                <w:rFonts w:ascii="Times New Roman" w:hAnsi="Times New Roman" w:cs="Times New Roman"/>
                <w:b/>
                <w:i/>
              </w:rPr>
              <w:t>Aggregate OPEB Amounts – All Plans</w:t>
            </w:r>
          </w:p>
        </w:tc>
      </w:tr>
      <w:tr w:rsidR="00C620DA" w:rsidRPr="00C620DA" w:rsidTr="00FC5CC0">
        <w:tc>
          <w:tcPr>
            <w:tcW w:w="3330" w:type="dxa"/>
          </w:tcPr>
          <w:p w:rsidR="004A4C05" w:rsidRPr="00C620DA" w:rsidRDefault="004A4C05"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t>OPEB liabilities</w:t>
            </w:r>
          </w:p>
        </w:tc>
        <w:tc>
          <w:tcPr>
            <w:tcW w:w="2790" w:type="dxa"/>
          </w:tcPr>
          <w:p w:rsidR="004A4C05" w:rsidRPr="00C620DA" w:rsidRDefault="004A4C05"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t>$</w:t>
            </w:r>
          </w:p>
        </w:tc>
      </w:tr>
      <w:tr w:rsidR="00C620DA" w:rsidRPr="00C620DA" w:rsidTr="00FC5CC0">
        <w:tc>
          <w:tcPr>
            <w:tcW w:w="3330" w:type="dxa"/>
          </w:tcPr>
          <w:p w:rsidR="004A4C05" w:rsidRPr="00C620DA" w:rsidRDefault="004A4C05"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t>OPEB assets</w:t>
            </w:r>
          </w:p>
        </w:tc>
        <w:tc>
          <w:tcPr>
            <w:tcW w:w="2790" w:type="dxa"/>
          </w:tcPr>
          <w:p w:rsidR="004A4C05" w:rsidRPr="00C620DA" w:rsidRDefault="004A4C05"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t>$</w:t>
            </w:r>
          </w:p>
        </w:tc>
      </w:tr>
      <w:tr w:rsidR="00C620DA" w:rsidRPr="00C620DA" w:rsidTr="00FC5CC0">
        <w:tc>
          <w:tcPr>
            <w:tcW w:w="3330" w:type="dxa"/>
          </w:tcPr>
          <w:p w:rsidR="004A4C05" w:rsidRPr="00C620DA" w:rsidRDefault="004A4C05"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t>Deferred outflows of resources</w:t>
            </w:r>
          </w:p>
        </w:tc>
        <w:tc>
          <w:tcPr>
            <w:tcW w:w="2790" w:type="dxa"/>
          </w:tcPr>
          <w:p w:rsidR="004A4C05" w:rsidRPr="00C620DA" w:rsidRDefault="004A4C05"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t>$</w:t>
            </w:r>
          </w:p>
        </w:tc>
      </w:tr>
      <w:tr w:rsidR="00C620DA" w:rsidRPr="00C620DA" w:rsidTr="00FC5CC0">
        <w:tc>
          <w:tcPr>
            <w:tcW w:w="3330" w:type="dxa"/>
          </w:tcPr>
          <w:p w:rsidR="004A4C05" w:rsidRPr="00C620DA" w:rsidRDefault="004A4C05"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t>Deferred inflows of resources</w:t>
            </w:r>
          </w:p>
        </w:tc>
        <w:tc>
          <w:tcPr>
            <w:tcW w:w="2790" w:type="dxa"/>
          </w:tcPr>
          <w:p w:rsidR="004A4C05" w:rsidRPr="00C620DA" w:rsidRDefault="004A4C05"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t>$</w:t>
            </w:r>
          </w:p>
        </w:tc>
      </w:tr>
      <w:tr w:rsidR="00C620DA" w:rsidRPr="00C620DA" w:rsidTr="00FC5CC0">
        <w:tc>
          <w:tcPr>
            <w:tcW w:w="3330" w:type="dxa"/>
          </w:tcPr>
          <w:p w:rsidR="004A4C05" w:rsidRPr="00C620DA" w:rsidRDefault="004A4C05"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t>OPEB expense/expenditures</w:t>
            </w:r>
          </w:p>
        </w:tc>
        <w:tc>
          <w:tcPr>
            <w:tcW w:w="2790" w:type="dxa"/>
          </w:tcPr>
          <w:p w:rsidR="004A4C05" w:rsidRPr="00C620DA" w:rsidRDefault="004A4C05"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t>$</w:t>
            </w:r>
          </w:p>
        </w:tc>
      </w:tr>
    </w:tbl>
    <w:p w:rsidR="000B155A" w:rsidRPr="00C620DA" w:rsidRDefault="000B155A" w:rsidP="00C620DA">
      <w:pPr>
        <w:spacing w:after="0" w:line="240" w:lineRule="auto"/>
        <w:jc w:val="both"/>
        <w:rPr>
          <w:rFonts w:ascii="Times New Roman" w:hAnsi="Times New Roman" w:cs="Times New Roman"/>
          <w:color w:val="0000FF"/>
        </w:rPr>
      </w:pPr>
    </w:p>
    <w:p w:rsidR="004A4C05" w:rsidRPr="00C620DA" w:rsidRDefault="00C620DA" w:rsidP="00C620DA">
      <w:pPr>
        <w:spacing w:after="0" w:line="240" w:lineRule="auto"/>
        <w:jc w:val="both"/>
        <w:rPr>
          <w:rFonts w:ascii="Times New Roman" w:hAnsi="Times New Roman" w:cs="Times New Roman"/>
          <w:color w:val="0000FF"/>
        </w:rPr>
      </w:pPr>
      <w:r w:rsidRPr="00F40B6B">
        <w:rPr>
          <w:rFonts w:ascii="Times New Roman" w:hAnsi="Times New Roman" w:cs="Times New Roman"/>
          <w:color w:val="0000FF"/>
          <w:u w:val="single"/>
        </w:rPr>
        <w:t>INSTRUCTIONS TO PREPARER</w:t>
      </w:r>
      <w:r w:rsidRPr="00A45C06">
        <w:rPr>
          <w:rFonts w:ascii="Times New Roman" w:hAnsi="Times New Roman" w:cs="Times New Roman"/>
          <w:color w:val="0000FF"/>
        </w:rPr>
        <w:t>:</w:t>
      </w:r>
      <w:r>
        <w:rPr>
          <w:rFonts w:ascii="Times New Roman" w:hAnsi="Times New Roman" w:cs="Times New Roman"/>
          <w:color w:val="0000FF"/>
        </w:rPr>
        <w:t xml:space="preserve"> </w:t>
      </w:r>
      <w:r w:rsidR="000B155A" w:rsidRPr="00C620DA">
        <w:rPr>
          <w:rFonts w:ascii="Times New Roman" w:hAnsi="Times New Roman" w:cs="Times New Roman"/>
          <w:color w:val="0000FF"/>
        </w:rPr>
        <w:t>The table appears once in the notes and reports the aggregate amounts for all plans, regardless of the type of OPEB plan and whether or not it is administered through a qualifying trust.  OPEB assets would be relevant only for plans that are administered through a qualifying trust</w:t>
      </w:r>
      <w:r>
        <w:rPr>
          <w:rFonts w:ascii="Times New Roman" w:hAnsi="Times New Roman" w:cs="Times New Roman"/>
          <w:color w:val="0000FF"/>
        </w:rPr>
        <w:t>.</w:t>
      </w:r>
    </w:p>
    <w:p w:rsidR="00C620DA" w:rsidRPr="00C620DA" w:rsidRDefault="00C620DA" w:rsidP="00C620DA">
      <w:pPr>
        <w:spacing w:after="0" w:line="240" w:lineRule="auto"/>
        <w:jc w:val="both"/>
        <w:rPr>
          <w:rFonts w:ascii="Times New Roman" w:hAnsi="Times New Roman" w:cs="Times New Roman"/>
          <w:b/>
          <w:color w:val="0000FF"/>
        </w:rPr>
      </w:pPr>
    </w:p>
    <w:p w:rsidR="00C620DA" w:rsidRDefault="002E2CD3" w:rsidP="00C620DA">
      <w:pPr>
        <w:spacing w:after="0" w:line="240" w:lineRule="auto"/>
        <w:jc w:val="both"/>
        <w:rPr>
          <w:rFonts w:ascii="Times New Roman" w:hAnsi="Times New Roman" w:cs="Times New Roman"/>
          <w:b/>
        </w:rPr>
      </w:pPr>
      <w:r w:rsidRPr="00C620DA">
        <w:rPr>
          <w:rFonts w:ascii="Times New Roman" w:hAnsi="Times New Roman" w:cs="Times New Roman"/>
          <w:b/>
        </w:rPr>
        <w:t>OPEB Plan Description</w:t>
      </w:r>
    </w:p>
    <w:p w:rsidR="002E2CD3" w:rsidRPr="00C620DA" w:rsidRDefault="00365DBA" w:rsidP="00C620DA">
      <w:pPr>
        <w:spacing w:after="0" w:line="240" w:lineRule="auto"/>
        <w:jc w:val="both"/>
        <w:rPr>
          <w:rFonts w:ascii="Times New Roman" w:hAnsi="Times New Roman" w:cs="Times New Roman"/>
          <w:b/>
          <w:color w:val="0000FF"/>
        </w:rPr>
      </w:pPr>
      <w:r w:rsidRPr="00C620DA">
        <w:rPr>
          <w:rFonts w:ascii="Times New Roman" w:hAnsi="Times New Roman" w:cs="Times New Roman"/>
          <w:color w:val="0000FF"/>
        </w:rPr>
        <w:t xml:space="preserve">Plan descriptions are specific to each plan and the following information (a. through e.) should be disclosed about </w:t>
      </w:r>
      <w:r w:rsidRPr="00C620DA">
        <w:rPr>
          <w:rFonts w:ascii="Times New Roman" w:hAnsi="Times New Roman" w:cs="Times New Roman"/>
          <w:color w:val="0000FF"/>
          <w:u w:val="single"/>
        </w:rPr>
        <w:t>each</w:t>
      </w:r>
      <w:r w:rsidRPr="00C620DA">
        <w:rPr>
          <w:rFonts w:ascii="Times New Roman" w:hAnsi="Times New Roman" w:cs="Times New Roman"/>
          <w:color w:val="0000FF"/>
        </w:rPr>
        <w:t xml:space="preserve"> OPEB plan.</w:t>
      </w:r>
    </w:p>
    <w:p w:rsidR="00C620DA" w:rsidRDefault="00C620DA" w:rsidP="00C620DA">
      <w:pPr>
        <w:spacing w:after="0" w:line="240" w:lineRule="auto"/>
        <w:jc w:val="both"/>
        <w:rPr>
          <w:rFonts w:ascii="Times New Roman" w:hAnsi="Times New Roman" w:cs="Times New Roman"/>
          <w:b/>
        </w:rPr>
      </w:pPr>
    </w:p>
    <w:p w:rsidR="00365DBA" w:rsidRDefault="002E2CD3" w:rsidP="00C620DA">
      <w:pPr>
        <w:spacing w:after="0" w:line="240" w:lineRule="auto"/>
        <w:jc w:val="both"/>
        <w:rPr>
          <w:rFonts w:ascii="Times New Roman" w:hAnsi="Times New Roman" w:cs="Times New Roman"/>
          <w:color w:val="0000FF"/>
        </w:rPr>
      </w:pPr>
      <w:r w:rsidRPr="00C620DA">
        <w:rPr>
          <w:rFonts w:ascii="Times New Roman" w:hAnsi="Times New Roman" w:cs="Times New Roman"/>
          <w:b/>
          <w:color w:val="0000FF"/>
        </w:rPr>
        <w:t>a.</w:t>
      </w:r>
      <w:r w:rsidRPr="00C620DA">
        <w:rPr>
          <w:rFonts w:ascii="Times New Roman" w:hAnsi="Times New Roman" w:cs="Times New Roman"/>
          <w:color w:val="0000FF"/>
        </w:rPr>
        <w:t xml:space="preserve"> The name of the OPEB plan, identiﬁcation of the entity that administers the OPEB plan, and identiﬁcation of the OPEB plan as a single-employer or agent OPEB plan.</w:t>
      </w:r>
      <w:r w:rsidR="000B0CA2" w:rsidRPr="00C620DA">
        <w:rPr>
          <w:rFonts w:ascii="Times New Roman" w:hAnsi="Times New Roman" w:cs="Times New Roman"/>
          <w:color w:val="0000FF"/>
        </w:rPr>
        <w:t xml:space="preserve">  The number of participating employers (if an agent or cost-sharing plan).  Information regarding the OPEB plan’s board and its composition.</w:t>
      </w:r>
    </w:p>
    <w:p w:rsidR="00C620DA" w:rsidRPr="00C620DA" w:rsidRDefault="00C620DA" w:rsidP="00C620DA">
      <w:pPr>
        <w:spacing w:after="0" w:line="240" w:lineRule="auto"/>
        <w:jc w:val="both"/>
        <w:rPr>
          <w:rFonts w:ascii="Times New Roman" w:hAnsi="Times New Roman" w:cs="Times New Roman"/>
          <w:color w:val="0000FF"/>
        </w:rPr>
      </w:pPr>
    </w:p>
    <w:p w:rsidR="00365DBA" w:rsidRPr="00C620DA" w:rsidRDefault="002E2CD3" w:rsidP="00C620DA">
      <w:pPr>
        <w:spacing w:after="0" w:line="240" w:lineRule="auto"/>
        <w:jc w:val="both"/>
        <w:rPr>
          <w:rFonts w:ascii="Times New Roman" w:hAnsi="Times New Roman" w:cs="Times New Roman"/>
          <w:color w:val="0000FF"/>
        </w:rPr>
      </w:pPr>
      <w:r w:rsidRPr="00C620DA">
        <w:rPr>
          <w:rFonts w:ascii="Times New Roman" w:hAnsi="Times New Roman" w:cs="Times New Roman"/>
          <w:b/>
          <w:color w:val="0000FF"/>
        </w:rPr>
        <w:t>b.</w:t>
      </w:r>
      <w:r w:rsidRPr="00C620DA">
        <w:rPr>
          <w:rFonts w:ascii="Times New Roman" w:hAnsi="Times New Roman" w:cs="Times New Roman"/>
          <w:color w:val="0000FF"/>
        </w:rPr>
        <w:t xml:space="preserve"> A brief description of the beneﬁt terms, including (1) the classes of employees covered; (2) the types of beneﬁts; (3) the key elements of the OPEB formulas; (4) the terms or policies, if any, with respect to automatic postemployment beneﬁt changes, including automatic COLAs, ad hoc postemployment beneﬁt changes, including ad hoc COLAs, and the sharing of beneﬁt-related costs with inactive employees; and (5) the authority under which beneﬁt terms are established or may be amended.</w:t>
      </w:r>
      <w:r w:rsidR="00C620DA">
        <w:rPr>
          <w:rFonts w:ascii="Times New Roman" w:hAnsi="Times New Roman" w:cs="Times New Roman"/>
          <w:color w:val="0000FF"/>
        </w:rPr>
        <w:t xml:space="preserve"> </w:t>
      </w:r>
      <w:r w:rsidRPr="00C620DA">
        <w:rPr>
          <w:rFonts w:ascii="Times New Roman" w:hAnsi="Times New Roman" w:cs="Times New Roman"/>
          <w:color w:val="0000FF"/>
        </w:rPr>
        <w:t xml:space="preserve"> If the OPEB plan is closed to new entrants, that fact should be disclosed.</w:t>
      </w:r>
    </w:p>
    <w:p w:rsidR="00C620DA" w:rsidRDefault="00C620DA" w:rsidP="00C620DA">
      <w:pPr>
        <w:spacing w:after="0" w:line="240" w:lineRule="auto"/>
        <w:jc w:val="both"/>
        <w:rPr>
          <w:rFonts w:ascii="Times New Roman" w:hAnsi="Times New Roman" w:cs="Times New Roman"/>
          <w:b/>
          <w:color w:val="0000FF"/>
        </w:rPr>
      </w:pPr>
    </w:p>
    <w:p w:rsidR="00206258" w:rsidRPr="00C620DA" w:rsidRDefault="002E2CD3" w:rsidP="00C620DA">
      <w:pPr>
        <w:spacing w:after="0" w:line="240" w:lineRule="auto"/>
        <w:jc w:val="both"/>
        <w:rPr>
          <w:rFonts w:ascii="Times New Roman" w:hAnsi="Times New Roman" w:cs="Times New Roman"/>
          <w:color w:val="0000FF"/>
        </w:rPr>
      </w:pPr>
      <w:r w:rsidRPr="00C620DA">
        <w:rPr>
          <w:rFonts w:ascii="Times New Roman" w:hAnsi="Times New Roman" w:cs="Times New Roman"/>
          <w:b/>
          <w:color w:val="0000FF"/>
        </w:rPr>
        <w:t>c.</w:t>
      </w:r>
      <w:r w:rsidRPr="00C620DA">
        <w:rPr>
          <w:rFonts w:ascii="Times New Roman" w:hAnsi="Times New Roman" w:cs="Times New Roman"/>
          <w:color w:val="0000FF"/>
        </w:rPr>
        <w:t xml:space="preserve"> The number of employees covered by the beneﬁt terms, separately identifying numbers of the following: (1) Inactive employees currently receiving beneﬁt payments (2) Inactive employees entitled to but not yet receiving beneﬁt payments (3) Active employees. </w:t>
      </w:r>
      <w:r w:rsidR="00C620DA">
        <w:rPr>
          <w:rFonts w:ascii="Times New Roman" w:hAnsi="Times New Roman" w:cs="Times New Roman"/>
          <w:color w:val="0000FF"/>
        </w:rPr>
        <w:t xml:space="preserve"> Note</w:t>
      </w:r>
      <w:r w:rsidR="00C620DA" w:rsidRPr="00C620DA">
        <w:rPr>
          <w:rFonts w:ascii="Times New Roman" w:hAnsi="Times New Roman" w:cs="Times New Roman"/>
          <w:color w:val="0000FF"/>
        </w:rPr>
        <w:t xml:space="preserve">: </w:t>
      </w:r>
      <w:r w:rsidR="00206258" w:rsidRPr="00C620DA">
        <w:rPr>
          <w:rFonts w:ascii="Times New Roman" w:hAnsi="Times New Roman" w:cs="Times New Roman"/>
          <w:color w:val="0000FF"/>
        </w:rPr>
        <w:t>“inactive employee” = retiree.</w:t>
      </w:r>
    </w:p>
    <w:p w:rsidR="00206258" w:rsidRPr="00C620DA" w:rsidRDefault="00206258" w:rsidP="00C620DA">
      <w:pPr>
        <w:autoSpaceDE w:val="0"/>
        <w:autoSpaceDN w:val="0"/>
        <w:adjustRightInd w:val="0"/>
        <w:spacing w:after="0" w:line="240" w:lineRule="auto"/>
        <w:jc w:val="both"/>
        <w:rPr>
          <w:rFonts w:ascii="Times New Roman" w:hAnsi="Times New Roman" w:cs="Times New Roman"/>
          <w:color w:val="1F4E79" w:themeColor="accent1" w:themeShade="80"/>
        </w:rPr>
      </w:pPr>
    </w:p>
    <w:p w:rsidR="00206258" w:rsidRPr="00C620DA" w:rsidRDefault="00206258" w:rsidP="00C620DA">
      <w:pPr>
        <w:autoSpaceDE w:val="0"/>
        <w:autoSpaceDN w:val="0"/>
        <w:adjustRightInd w:val="0"/>
        <w:spacing w:after="0" w:line="240" w:lineRule="auto"/>
        <w:jc w:val="both"/>
        <w:rPr>
          <w:rFonts w:ascii="Times New Roman" w:hAnsi="Times New Roman" w:cs="Times New Roman"/>
          <w:i/>
        </w:rPr>
      </w:pPr>
      <w:r w:rsidRPr="00C620DA">
        <w:rPr>
          <w:rFonts w:ascii="Times New Roman" w:hAnsi="Times New Roman" w:cs="Times New Roman"/>
          <w:b/>
          <w:i/>
        </w:rPr>
        <w:t>Employees covered by benefit terms</w:t>
      </w:r>
      <w:r w:rsidR="00C620DA">
        <w:rPr>
          <w:rFonts w:ascii="Times New Roman" w:hAnsi="Times New Roman" w:cs="Times New Roman"/>
          <w:b/>
          <w:i/>
        </w:rPr>
        <w:t xml:space="preserve">: </w:t>
      </w:r>
      <w:r w:rsidRPr="00C620DA">
        <w:rPr>
          <w:rFonts w:ascii="Times New Roman" w:hAnsi="Times New Roman" w:cs="Times New Roman"/>
          <w:i/>
        </w:rPr>
        <w:t xml:space="preserve"> At December 31, 20</w:t>
      </w:r>
      <w:r w:rsidR="00C620DA">
        <w:rPr>
          <w:rFonts w:ascii="Times New Roman" w:hAnsi="Times New Roman" w:cs="Times New Roman"/>
          <w:i/>
        </w:rPr>
        <w:t>__</w:t>
      </w:r>
      <w:r w:rsidRPr="00C620DA">
        <w:rPr>
          <w:rFonts w:ascii="Times New Roman" w:hAnsi="Times New Roman" w:cs="Times New Roman"/>
          <w:i/>
        </w:rPr>
        <w:t>, the following employees were covered by the benefit terms:</w:t>
      </w:r>
    </w:p>
    <w:p w:rsidR="00206258" w:rsidRPr="00C620DA" w:rsidRDefault="00206258" w:rsidP="00C620DA">
      <w:pPr>
        <w:autoSpaceDE w:val="0"/>
        <w:autoSpaceDN w:val="0"/>
        <w:adjustRightInd w:val="0"/>
        <w:spacing w:after="0" w:line="240" w:lineRule="auto"/>
        <w:jc w:val="both"/>
        <w:rPr>
          <w:rFonts w:ascii="Times New Roman" w:hAnsi="Times New Roman" w:cs="Times New Roman"/>
          <w:i/>
        </w:rPr>
      </w:pPr>
    </w:p>
    <w:tbl>
      <w:tblPr>
        <w:tblStyle w:val="TableGrid"/>
        <w:tblW w:w="0" w:type="auto"/>
        <w:tblInd w:w="1098" w:type="dxa"/>
        <w:tblLook w:val="04A0" w:firstRow="1" w:lastRow="0" w:firstColumn="1" w:lastColumn="0" w:noHBand="0" w:noVBand="1"/>
      </w:tblPr>
      <w:tblGrid>
        <w:gridCol w:w="5580"/>
        <w:gridCol w:w="1170"/>
      </w:tblGrid>
      <w:tr w:rsidR="00C620DA" w:rsidRPr="00C620DA" w:rsidTr="00FC5CC0">
        <w:tc>
          <w:tcPr>
            <w:tcW w:w="5580" w:type="dxa"/>
          </w:tcPr>
          <w:p w:rsidR="00206258" w:rsidRPr="00C620DA" w:rsidRDefault="00206258"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t>Inactive employees or beneficiaries currently receiving benefits</w:t>
            </w:r>
          </w:p>
        </w:tc>
        <w:tc>
          <w:tcPr>
            <w:tcW w:w="1170" w:type="dxa"/>
          </w:tcPr>
          <w:p w:rsidR="00206258" w:rsidRPr="00C620DA" w:rsidRDefault="00206258"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t>1,000</w:t>
            </w:r>
          </w:p>
        </w:tc>
      </w:tr>
      <w:tr w:rsidR="00C620DA" w:rsidRPr="00C620DA" w:rsidTr="00FC5CC0">
        <w:tc>
          <w:tcPr>
            <w:tcW w:w="5580" w:type="dxa"/>
          </w:tcPr>
          <w:p w:rsidR="00206258" w:rsidRPr="00C620DA" w:rsidRDefault="00206258"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t>Inactive employees entitled to but not yet receiving benefits</w:t>
            </w:r>
          </w:p>
        </w:tc>
        <w:tc>
          <w:tcPr>
            <w:tcW w:w="1170" w:type="dxa"/>
          </w:tcPr>
          <w:p w:rsidR="00206258" w:rsidRPr="00C620DA" w:rsidRDefault="00206258"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t>100</w:t>
            </w:r>
          </w:p>
        </w:tc>
      </w:tr>
      <w:tr w:rsidR="00C620DA" w:rsidRPr="00C620DA" w:rsidTr="00FC5CC0">
        <w:tc>
          <w:tcPr>
            <w:tcW w:w="5580" w:type="dxa"/>
          </w:tcPr>
          <w:p w:rsidR="00206258" w:rsidRPr="00C620DA" w:rsidRDefault="00206258"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lastRenderedPageBreak/>
              <w:t>Active employees</w:t>
            </w:r>
          </w:p>
        </w:tc>
        <w:tc>
          <w:tcPr>
            <w:tcW w:w="1170" w:type="dxa"/>
          </w:tcPr>
          <w:p w:rsidR="00206258" w:rsidRPr="00C620DA" w:rsidRDefault="00206258"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t>10,000</w:t>
            </w:r>
          </w:p>
        </w:tc>
      </w:tr>
      <w:tr w:rsidR="00C620DA" w:rsidRPr="00C620DA" w:rsidTr="00FC5CC0">
        <w:tc>
          <w:tcPr>
            <w:tcW w:w="5580" w:type="dxa"/>
          </w:tcPr>
          <w:p w:rsidR="00206258" w:rsidRPr="00C620DA" w:rsidRDefault="00206258" w:rsidP="00C620DA">
            <w:pPr>
              <w:autoSpaceDE w:val="0"/>
              <w:autoSpaceDN w:val="0"/>
              <w:adjustRightInd w:val="0"/>
              <w:jc w:val="right"/>
              <w:rPr>
                <w:rFonts w:ascii="Times New Roman" w:hAnsi="Times New Roman" w:cs="Times New Roman"/>
                <w:i/>
              </w:rPr>
            </w:pPr>
            <w:r w:rsidRPr="00C620DA">
              <w:rPr>
                <w:rFonts w:ascii="Times New Roman" w:hAnsi="Times New Roman" w:cs="Times New Roman"/>
                <w:i/>
              </w:rPr>
              <w:t>Total</w:t>
            </w:r>
          </w:p>
        </w:tc>
        <w:tc>
          <w:tcPr>
            <w:tcW w:w="1170" w:type="dxa"/>
          </w:tcPr>
          <w:p w:rsidR="00206258" w:rsidRPr="00C620DA" w:rsidRDefault="00206258" w:rsidP="00C620DA">
            <w:pPr>
              <w:autoSpaceDE w:val="0"/>
              <w:autoSpaceDN w:val="0"/>
              <w:adjustRightInd w:val="0"/>
              <w:jc w:val="both"/>
              <w:rPr>
                <w:rFonts w:ascii="Times New Roman" w:hAnsi="Times New Roman" w:cs="Times New Roman"/>
                <w:i/>
              </w:rPr>
            </w:pPr>
            <w:r w:rsidRPr="00C620DA">
              <w:rPr>
                <w:rFonts w:ascii="Times New Roman" w:hAnsi="Times New Roman" w:cs="Times New Roman"/>
                <w:i/>
              </w:rPr>
              <w:t>11,100</w:t>
            </w:r>
          </w:p>
        </w:tc>
      </w:tr>
    </w:tbl>
    <w:p w:rsidR="00206258" w:rsidRPr="00C620DA" w:rsidRDefault="00206258" w:rsidP="00C620DA">
      <w:pPr>
        <w:autoSpaceDE w:val="0"/>
        <w:autoSpaceDN w:val="0"/>
        <w:adjustRightInd w:val="0"/>
        <w:spacing w:after="0" w:line="240" w:lineRule="auto"/>
        <w:jc w:val="both"/>
        <w:rPr>
          <w:rFonts w:ascii="Times New Roman" w:hAnsi="Times New Roman" w:cs="Times New Roman"/>
          <w:color w:val="1F4E79" w:themeColor="accent1" w:themeShade="80"/>
        </w:rPr>
      </w:pPr>
    </w:p>
    <w:p w:rsidR="00206258" w:rsidRPr="00C620DA" w:rsidRDefault="002E2CD3" w:rsidP="00C620DA">
      <w:pPr>
        <w:spacing w:after="0" w:line="240" w:lineRule="auto"/>
        <w:jc w:val="both"/>
        <w:rPr>
          <w:rFonts w:ascii="Times New Roman" w:hAnsi="Times New Roman" w:cs="Times New Roman"/>
          <w:color w:val="0000FF"/>
        </w:rPr>
      </w:pPr>
      <w:r w:rsidRPr="00C620DA">
        <w:rPr>
          <w:rFonts w:ascii="Times New Roman" w:hAnsi="Times New Roman" w:cs="Times New Roman"/>
          <w:b/>
          <w:color w:val="0000FF"/>
        </w:rPr>
        <w:t>d.</w:t>
      </w:r>
      <w:r w:rsidRPr="00C620DA">
        <w:rPr>
          <w:rFonts w:ascii="Times New Roman" w:hAnsi="Times New Roman" w:cs="Times New Roman"/>
          <w:color w:val="0000FF"/>
        </w:rPr>
        <w:t xml:space="preserve"> A brief description of contribution requirements, including (1) the basis for determining the employer’s contributions to the OPEB plan (for example, </w:t>
      </w:r>
      <w:r w:rsidR="00365DBA" w:rsidRPr="00C620DA">
        <w:rPr>
          <w:rFonts w:ascii="Times New Roman" w:hAnsi="Times New Roman" w:cs="Times New Roman"/>
          <w:color w:val="0000FF"/>
        </w:rPr>
        <w:t>s</w:t>
      </w:r>
      <w:r w:rsidRPr="00C620DA">
        <w:rPr>
          <w:rFonts w:ascii="Times New Roman" w:hAnsi="Times New Roman" w:cs="Times New Roman"/>
          <w:color w:val="0000FF"/>
        </w:rPr>
        <w:t>tatute,</w:t>
      </w:r>
      <w:r w:rsidR="00365DBA" w:rsidRPr="00C620DA">
        <w:rPr>
          <w:rFonts w:ascii="Times New Roman" w:hAnsi="Times New Roman" w:cs="Times New Roman"/>
          <w:color w:val="0000FF"/>
        </w:rPr>
        <w:t xml:space="preserve"> </w:t>
      </w:r>
      <w:r w:rsidRPr="00C620DA">
        <w:rPr>
          <w:rFonts w:ascii="Times New Roman" w:hAnsi="Times New Roman" w:cs="Times New Roman"/>
          <w:color w:val="0000FF"/>
        </w:rPr>
        <w:t>contract,</w:t>
      </w:r>
      <w:r w:rsidR="00365DBA" w:rsidRPr="00C620DA">
        <w:rPr>
          <w:rFonts w:ascii="Times New Roman" w:hAnsi="Times New Roman" w:cs="Times New Roman"/>
          <w:color w:val="0000FF"/>
        </w:rPr>
        <w:t xml:space="preserve"> </w:t>
      </w:r>
      <w:r w:rsidRPr="00C620DA">
        <w:rPr>
          <w:rFonts w:ascii="Times New Roman" w:hAnsi="Times New Roman" w:cs="Times New Roman"/>
          <w:color w:val="0000FF"/>
        </w:rPr>
        <w:t>an</w:t>
      </w:r>
      <w:r w:rsidR="00365DBA" w:rsidRPr="00C620DA">
        <w:rPr>
          <w:rFonts w:ascii="Times New Roman" w:hAnsi="Times New Roman" w:cs="Times New Roman"/>
          <w:color w:val="0000FF"/>
        </w:rPr>
        <w:t xml:space="preserve"> </w:t>
      </w:r>
      <w:r w:rsidRPr="00C620DA">
        <w:rPr>
          <w:rFonts w:ascii="Times New Roman" w:hAnsi="Times New Roman" w:cs="Times New Roman"/>
          <w:color w:val="0000FF"/>
        </w:rPr>
        <w:t>actuarial</w:t>
      </w:r>
      <w:r w:rsidR="00365DBA" w:rsidRPr="00C620DA">
        <w:rPr>
          <w:rFonts w:ascii="Times New Roman" w:hAnsi="Times New Roman" w:cs="Times New Roman"/>
          <w:color w:val="0000FF"/>
        </w:rPr>
        <w:t xml:space="preserve"> </w:t>
      </w:r>
      <w:r w:rsidRPr="00C620DA">
        <w:rPr>
          <w:rFonts w:ascii="Times New Roman" w:hAnsi="Times New Roman" w:cs="Times New Roman"/>
          <w:color w:val="0000FF"/>
        </w:rPr>
        <w:t>basis,</w:t>
      </w:r>
      <w:r w:rsidR="00365DBA" w:rsidRPr="00C620DA">
        <w:rPr>
          <w:rFonts w:ascii="Times New Roman" w:hAnsi="Times New Roman" w:cs="Times New Roman"/>
          <w:color w:val="0000FF"/>
        </w:rPr>
        <w:t xml:space="preserve"> </w:t>
      </w:r>
      <w:r w:rsidRPr="00C620DA">
        <w:rPr>
          <w:rFonts w:ascii="Times New Roman" w:hAnsi="Times New Roman" w:cs="Times New Roman"/>
          <w:color w:val="0000FF"/>
        </w:rPr>
        <w:t>or</w:t>
      </w:r>
      <w:r w:rsidR="00365DBA" w:rsidRPr="00C620DA">
        <w:rPr>
          <w:rFonts w:ascii="Times New Roman" w:hAnsi="Times New Roman" w:cs="Times New Roman"/>
          <w:color w:val="0000FF"/>
        </w:rPr>
        <w:t xml:space="preserve"> </w:t>
      </w:r>
      <w:r w:rsidRPr="00C620DA">
        <w:rPr>
          <w:rFonts w:ascii="Times New Roman" w:hAnsi="Times New Roman" w:cs="Times New Roman"/>
          <w:color w:val="0000FF"/>
        </w:rPr>
        <w:t>some</w:t>
      </w:r>
      <w:r w:rsidR="00365DBA" w:rsidRPr="00C620DA">
        <w:rPr>
          <w:rFonts w:ascii="Times New Roman" w:hAnsi="Times New Roman" w:cs="Times New Roman"/>
          <w:color w:val="0000FF"/>
        </w:rPr>
        <w:t xml:space="preserve"> </w:t>
      </w:r>
      <w:r w:rsidRPr="00C620DA">
        <w:rPr>
          <w:rFonts w:ascii="Times New Roman" w:hAnsi="Times New Roman" w:cs="Times New Roman"/>
          <w:color w:val="0000FF"/>
        </w:rPr>
        <w:t>other</w:t>
      </w:r>
      <w:r w:rsidR="00365DBA" w:rsidRPr="00C620DA">
        <w:rPr>
          <w:rFonts w:ascii="Times New Roman" w:hAnsi="Times New Roman" w:cs="Times New Roman"/>
          <w:color w:val="0000FF"/>
        </w:rPr>
        <w:t xml:space="preserve"> </w:t>
      </w:r>
      <w:r w:rsidRPr="00C620DA">
        <w:rPr>
          <w:rFonts w:ascii="Times New Roman" w:hAnsi="Times New Roman" w:cs="Times New Roman"/>
          <w:color w:val="0000FF"/>
        </w:rPr>
        <w:t>manner);</w:t>
      </w:r>
      <w:r w:rsidR="00365DBA" w:rsidRPr="00C620DA">
        <w:rPr>
          <w:rFonts w:ascii="Times New Roman" w:hAnsi="Times New Roman" w:cs="Times New Roman"/>
          <w:color w:val="0000FF"/>
        </w:rPr>
        <w:t xml:space="preserve"> </w:t>
      </w:r>
      <w:r w:rsidRPr="00C620DA">
        <w:rPr>
          <w:rFonts w:ascii="Times New Roman" w:hAnsi="Times New Roman" w:cs="Times New Roman"/>
          <w:color w:val="0000FF"/>
        </w:rPr>
        <w:t>(2)</w:t>
      </w:r>
      <w:r w:rsidR="00365DBA" w:rsidRPr="00C620DA">
        <w:rPr>
          <w:rFonts w:ascii="Times New Roman" w:hAnsi="Times New Roman" w:cs="Times New Roman"/>
          <w:color w:val="0000FF"/>
        </w:rPr>
        <w:t xml:space="preserve"> </w:t>
      </w:r>
      <w:r w:rsidRPr="00C620DA">
        <w:rPr>
          <w:rFonts w:ascii="Times New Roman" w:hAnsi="Times New Roman" w:cs="Times New Roman"/>
          <w:color w:val="0000FF"/>
        </w:rPr>
        <w:t>identiﬁcation</w:t>
      </w:r>
      <w:r w:rsidR="00206258" w:rsidRPr="00C620DA">
        <w:rPr>
          <w:rFonts w:ascii="Times New Roman" w:hAnsi="Times New Roman" w:cs="Times New Roman"/>
          <w:color w:val="0000FF"/>
        </w:rPr>
        <w:t xml:space="preserve"> </w:t>
      </w:r>
      <w:r w:rsidRPr="00C620DA">
        <w:rPr>
          <w:rFonts w:ascii="Times New Roman" w:hAnsi="Times New Roman" w:cs="Times New Roman"/>
          <w:color w:val="0000FF"/>
        </w:rPr>
        <w:t>of the authority under which contribution requirements of the employer, nonemployer contributing entities, if any, and employees are established or may be amended; (3) legal or contractual maximum contribution rates, if applicable; and (4) the contribution rates (in dollars or as a percentage of covered payroll) of the employer, nonemployer contributing entities, if any, and employees for the reporting period.</w:t>
      </w:r>
      <w:r w:rsidR="00206258" w:rsidRPr="00C620DA">
        <w:rPr>
          <w:rFonts w:ascii="Times New Roman" w:hAnsi="Times New Roman" w:cs="Times New Roman"/>
          <w:color w:val="0000FF"/>
        </w:rPr>
        <w:t xml:space="preserve">  </w:t>
      </w:r>
      <w:r w:rsidRPr="00C620DA">
        <w:rPr>
          <w:rFonts w:ascii="Times New Roman" w:hAnsi="Times New Roman" w:cs="Times New Roman"/>
          <w:color w:val="0000FF"/>
        </w:rPr>
        <w:t>Also, the amount of contributions recognized</w:t>
      </w:r>
      <w:r w:rsidR="00206258" w:rsidRPr="00C620DA">
        <w:rPr>
          <w:rFonts w:ascii="Times New Roman" w:hAnsi="Times New Roman" w:cs="Times New Roman"/>
          <w:color w:val="0000FF"/>
        </w:rPr>
        <w:t xml:space="preserve"> </w:t>
      </w:r>
      <w:r w:rsidRPr="00C620DA">
        <w:rPr>
          <w:rFonts w:ascii="Times New Roman" w:hAnsi="Times New Roman" w:cs="Times New Roman"/>
          <w:color w:val="0000FF"/>
        </w:rPr>
        <w:t>by</w:t>
      </w:r>
      <w:r w:rsidR="00206258" w:rsidRPr="00C620DA">
        <w:rPr>
          <w:rFonts w:ascii="Times New Roman" w:hAnsi="Times New Roman" w:cs="Times New Roman"/>
          <w:color w:val="0000FF"/>
        </w:rPr>
        <w:t xml:space="preserve"> </w:t>
      </w:r>
      <w:r w:rsidRPr="00C620DA">
        <w:rPr>
          <w:rFonts w:ascii="Times New Roman" w:hAnsi="Times New Roman" w:cs="Times New Roman"/>
          <w:color w:val="0000FF"/>
        </w:rPr>
        <w:t>the</w:t>
      </w:r>
      <w:r w:rsidR="00206258" w:rsidRPr="00C620DA">
        <w:rPr>
          <w:rFonts w:ascii="Times New Roman" w:hAnsi="Times New Roman" w:cs="Times New Roman"/>
          <w:color w:val="0000FF"/>
        </w:rPr>
        <w:t xml:space="preserve"> </w:t>
      </w:r>
      <w:r w:rsidRPr="00C620DA">
        <w:rPr>
          <w:rFonts w:ascii="Times New Roman" w:hAnsi="Times New Roman" w:cs="Times New Roman"/>
          <w:color w:val="0000FF"/>
        </w:rPr>
        <w:t>OPEB</w:t>
      </w:r>
      <w:r w:rsidR="00206258" w:rsidRPr="00C620DA">
        <w:rPr>
          <w:rFonts w:ascii="Times New Roman" w:hAnsi="Times New Roman" w:cs="Times New Roman"/>
          <w:color w:val="0000FF"/>
        </w:rPr>
        <w:t xml:space="preserve"> </w:t>
      </w:r>
      <w:r w:rsidRPr="00C620DA">
        <w:rPr>
          <w:rFonts w:ascii="Times New Roman" w:hAnsi="Times New Roman" w:cs="Times New Roman"/>
          <w:color w:val="0000FF"/>
        </w:rPr>
        <w:t>plan</w:t>
      </w:r>
      <w:r w:rsidR="00206258" w:rsidRPr="00C620DA">
        <w:rPr>
          <w:rFonts w:ascii="Times New Roman" w:hAnsi="Times New Roman" w:cs="Times New Roman"/>
          <w:color w:val="0000FF"/>
        </w:rPr>
        <w:t xml:space="preserve"> </w:t>
      </w:r>
      <w:r w:rsidRPr="00C620DA">
        <w:rPr>
          <w:rFonts w:ascii="Times New Roman" w:hAnsi="Times New Roman" w:cs="Times New Roman"/>
          <w:color w:val="0000FF"/>
        </w:rPr>
        <w:t>from</w:t>
      </w:r>
      <w:r w:rsidR="00206258" w:rsidRPr="00C620DA">
        <w:rPr>
          <w:rFonts w:ascii="Times New Roman" w:hAnsi="Times New Roman" w:cs="Times New Roman"/>
          <w:color w:val="0000FF"/>
        </w:rPr>
        <w:t xml:space="preserve"> </w:t>
      </w:r>
      <w:r w:rsidRPr="00C620DA">
        <w:rPr>
          <w:rFonts w:ascii="Times New Roman" w:hAnsi="Times New Roman" w:cs="Times New Roman"/>
          <w:color w:val="0000FF"/>
        </w:rPr>
        <w:t>the</w:t>
      </w:r>
      <w:r w:rsidR="00206258" w:rsidRPr="00C620DA">
        <w:rPr>
          <w:rFonts w:ascii="Times New Roman" w:hAnsi="Times New Roman" w:cs="Times New Roman"/>
          <w:color w:val="0000FF"/>
        </w:rPr>
        <w:t xml:space="preserve"> </w:t>
      </w:r>
      <w:r w:rsidRPr="00C620DA">
        <w:rPr>
          <w:rFonts w:ascii="Times New Roman" w:hAnsi="Times New Roman" w:cs="Times New Roman"/>
          <w:color w:val="0000FF"/>
        </w:rPr>
        <w:t>employer</w:t>
      </w:r>
      <w:r w:rsidR="00206258" w:rsidRPr="00C620DA">
        <w:rPr>
          <w:rFonts w:ascii="Times New Roman" w:hAnsi="Times New Roman" w:cs="Times New Roman"/>
          <w:color w:val="0000FF"/>
        </w:rPr>
        <w:t xml:space="preserve"> </w:t>
      </w:r>
      <w:r w:rsidRPr="00C620DA">
        <w:rPr>
          <w:rFonts w:ascii="Times New Roman" w:hAnsi="Times New Roman" w:cs="Times New Roman"/>
          <w:color w:val="0000FF"/>
        </w:rPr>
        <w:t>during</w:t>
      </w:r>
      <w:r w:rsidR="00206258" w:rsidRPr="00C620DA">
        <w:rPr>
          <w:rFonts w:ascii="Times New Roman" w:hAnsi="Times New Roman" w:cs="Times New Roman"/>
          <w:color w:val="0000FF"/>
        </w:rPr>
        <w:t xml:space="preserve"> </w:t>
      </w:r>
      <w:r w:rsidRPr="00C620DA">
        <w:rPr>
          <w:rFonts w:ascii="Times New Roman" w:hAnsi="Times New Roman" w:cs="Times New Roman"/>
          <w:color w:val="0000FF"/>
        </w:rPr>
        <w:t>the</w:t>
      </w:r>
      <w:r w:rsidR="00206258" w:rsidRPr="00C620DA">
        <w:rPr>
          <w:rFonts w:ascii="Times New Roman" w:hAnsi="Times New Roman" w:cs="Times New Roman"/>
          <w:color w:val="0000FF"/>
        </w:rPr>
        <w:t xml:space="preserve"> </w:t>
      </w:r>
      <w:r w:rsidRPr="00C620DA">
        <w:rPr>
          <w:rFonts w:ascii="Times New Roman" w:hAnsi="Times New Roman" w:cs="Times New Roman"/>
          <w:color w:val="0000FF"/>
        </w:rPr>
        <w:t>reporting</w:t>
      </w:r>
      <w:r w:rsidR="00206258" w:rsidRPr="00C620DA">
        <w:rPr>
          <w:rFonts w:ascii="Times New Roman" w:hAnsi="Times New Roman" w:cs="Times New Roman"/>
          <w:color w:val="0000FF"/>
        </w:rPr>
        <w:t xml:space="preserve"> </w:t>
      </w:r>
      <w:r w:rsidRPr="00C620DA">
        <w:rPr>
          <w:rFonts w:ascii="Times New Roman" w:hAnsi="Times New Roman" w:cs="Times New Roman"/>
          <w:color w:val="0000FF"/>
        </w:rPr>
        <w:t>period, excluding amounts resulting from contributions recognized by the OPEB plan as noncurrent receivables, if not otherwise disclosed.</w:t>
      </w:r>
    </w:p>
    <w:p w:rsidR="00C620DA" w:rsidRDefault="00C620DA" w:rsidP="00C620DA">
      <w:pPr>
        <w:spacing w:after="0" w:line="240" w:lineRule="auto"/>
        <w:jc w:val="both"/>
        <w:rPr>
          <w:rFonts w:ascii="Times New Roman" w:hAnsi="Times New Roman" w:cs="Times New Roman"/>
          <w:b/>
          <w:color w:val="0000FF"/>
        </w:rPr>
      </w:pPr>
    </w:p>
    <w:p w:rsidR="002E2CD3" w:rsidRPr="00C620DA" w:rsidRDefault="002E2CD3" w:rsidP="00C620DA">
      <w:pPr>
        <w:spacing w:after="0" w:line="240" w:lineRule="auto"/>
        <w:jc w:val="both"/>
        <w:rPr>
          <w:rFonts w:ascii="Times New Roman" w:hAnsi="Times New Roman" w:cs="Times New Roman"/>
          <w:color w:val="0000FF"/>
        </w:rPr>
      </w:pPr>
      <w:r w:rsidRPr="00C620DA">
        <w:rPr>
          <w:rFonts w:ascii="Times New Roman" w:hAnsi="Times New Roman" w:cs="Times New Roman"/>
          <w:b/>
          <w:color w:val="0000FF"/>
        </w:rPr>
        <w:t>e.</w:t>
      </w:r>
      <w:r w:rsidRPr="00C620DA">
        <w:rPr>
          <w:rFonts w:ascii="Times New Roman" w:hAnsi="Times New Roman" w:cs="Times New Roman"/>
          <w:color w:val="0000FF"/>
        </w:rPr>
        <w:t xml:space="preserve"> Whether the OPEB plan issues a stand-alone ﬁnancial report (or the OPEB plan is included in the report of another government) that is available to the public and, if so, how to obtain the report (for example, a link to the OPEB plan report on the employer’s website).</w:t>
      </w:r>
    </w:p>
    <w:p w:rsidR="00C620DA" w:rsidRDefault="00C620DA" w:rsidP="00C620DA">
      <w:pPr>
        <w:spacing w:after="0" w:line="240" w:lineRule="auto"/>
        <w:jc w:val="both"/>
        <w:rPr>
          <w:rFonts w:ascii="Times New Roman" w:hAnsi="Times New Roman" w:cs="Times New Roman"/>
          <w:b/>
        </w:rPr>
      </w:pPr>
    </w:p>
    <w:p w:rsidR="002E2CD3" w:rsidRPr="00C620DA" w:rsidRDefault="002E2CD3" w:rsidP="00C620DA">
      <w:pPr>
        <w:spacing w:after="0" w:line="240" w:lineRule="auto"/>
        <w:jc w:val="both"/>
        <w:rPr>
          <w:rFonts w:ascii="Times New Roman" w:hAnsi="Times New Roman" w:cs="Times New Roman"/>
          <w:b/>
        </w:rPr>
      </w:pPr>
      <w:r w:rsidRPr="00C620DA">
        <w:rPr>
          <w:rFonts w:ascii="Times New Roman" w:hAnsi="Times New Roman" w:cs="Times New Roman"/>
          <w:b/>
        </w:rPr>
        <w:t>Assumptions and Other Inputs</w:t>
      </w:r>
    </w:p>
    <w:p w:rsidR="00C620DA" w:rsidRDefault="002E2CD3" w:rsidP="00C620DA">
      <w:pPr>
        <w:spacing w:after="0" w:line="240" w:lineRule="auto"/>
        <w:jc w:val="both"/>
        <w:rPr>
          <w:rFonts w:ascii="Times New Roman" w:hAnsi="Times New Roman" w:cs="Times New Roman"/>
          <w:color w:val="0000FF"/>
        </w:rPr>
      </w:pPr>
      <w:r w:rsidRPr="00C620DA">
        <w:rPr>
          <w:rFonts w:ascii="Times New Roman" w:hAnsi="Times New Roman" w:cs="Times New Roman"/>
          <w:color w:val="0000FF"/>
        </w:rPr>
        <w:t>Signiﬁcant assumptions and other inputs used to measure the total OPEB liability, including assumptions about inﬂation, healthcare cost trend rates, salary changes, ad hoc postemployment beneﬁt changes (including ad hoc COLAs), and the sharing of beneﬁt-related costs with inactive employees, should be disclosed, as applicable.</w:t>
      </w:r>
      <w:r w:rsidR="00C620DA">
        <w:rPr>
          <w:rFonts w:ascii="Times New Roman" w:hAnsi="Times New Roman" w:cs="Times New Roman"/>
          <w:color w:val="0000FF"/>
        </w:rPr>
        <w:t xml:space="preserve"> </w:t>
      </w:r>
      <w:r w:rsidRPr="00C620DA">
        <w:rPr>
          <w:rFonts w:ascii="Times New Roman" w:hAnsi="Times New Roman" w:cs="Times New Roman"/>
          <w:color w:val="0000FF"/>
        </w:rPr>
        <w:t xml:space="preserve"> For all signiﬁcant assumptions, if different rates are assumed for different periods, information should be disclosed about what rates are applied to the different periods of the measurement.</w:t>
      </w:r>
    </w:p>
    <w:p w:rsidR="00C620DA" w:rsidRDefault="00C620DA" w:rsidP="00C620DA">
      <w:pPr>
        <w:spacing w:after="0" w:line="240" w:lineRule="auto"/>
        <w:jc w:val="both"/>
        <w:rPr>
          <w:rFonts w:ascii="Times New Roman" w:hAnsi="Times New Roman" w:cs="Times New Roman"/>
          <w:color w:val="0000FF"/>
        </w:rPr>
      </w:pPr>
    </w:p>
    <w:p w:rsidR="002E2CD3" w:rsidRDefault="002E2CD3" w:rsidP="00C620DA">
      <w:pPr>
        <w:spacing w:after="0" w:line="240" w:lineRule="auto"/>
        <w:jc w:val="both"/>
        <w:rPr>
          <w:rFonts w:ascii="Times New Roman" w:hAnsi="Times New Roman" w:cs="Times New Roman"/>
          <w:color w:val="0000FF"/>
        </w:rPr>
      </w:pPr>
      <w:r w:rsidRPr="00C620DA">
        <w:rPr>
          <w:rFonts w:ascii="Times New Roman" w:hAnsi="Times New Roman" w:cs="Times New Roman"/>
          <w:color w:val="0000FF"/>
        </w:rPr>
        <w:t>In addition, the following information related to assumptions and other inputs should be disclosed, as applicable:</w:t>
      </w:r>
    </w:p>
    <w:p w:rsidR="00C620DA" w:rsidRPr="00C620DA" w:rsidRDefault="00C620DA" w:rsidP="00C620DA">
      <w:pPr>
        <w:spacing w:after="0" w:line="240" w:lineRule="auto"/>
        <w:jc w:val="both"/>
        <w:rPr>
          <w:rFonts w:ascii="Times New Roman" w:hAnsi="Times New Roman" w:cs="Times New Roman"/>
          <w:color w:val="0000FF"/>
        </w:rPr>
      </w:pPr>
    </w:p>
    <w:p w:rsidR="00206258" w:rsidRPr="00C620DA" w:rsidRDefault="002E2CD3" w:rsidP="006E3A1B">
      <w:pPr>
        <w:spacing w:after="0" w:line="240" w:lineRule="auto"/>
        <w:ind w:left="720"/>
        <w:jc w:val="both"/>
        <w:rPr>
          <w:rFonts w:ascii="Times New Roman" w:hAnsi="Times New Roman" w:cs="Times New Roman"/>
          <w:color w:val="0000FF"/>
        </w:rPr>
      </w:pPr>
      <w:r w:rsidRPr="00C620DA">
        <w:rPr>
          <w:rFonts w:ascii="Times New Roman" w:hAnsi="Times New Roman" w:cs="Times New Roman"/>
          <w:b/>
          <w:color w:val="0000FF"/>
        </w:rPr>
        <w:t>a.</w:t>
      </w:r>
      <w:r w:rsidRPr="00C620DA">
        <w:rPr>
          <w:rFonts w:ascii="Times New Roman" w:hAnsi="Times New Roman" w:cs="Times New Roman"/>
          <w:color w:val="0000FF"/>
        </w:rPr>
        <w:t xml:space="preserve"> The fact that projections of the sharing of beneﬁt-related costs are based on an established pattern of practice</w:t>
      </w:r>
      <w:r w:rsidR="006E3A1B">
        <w:rPr>
          <w:rFonts w:ascii="Times New Roman" w:hAnsi="Times New Roman" w:cs="Times New Roman"/>
          <w:color w:val="0000FF"/>
        </w:rPr>
        <w:t>.</w:t>
      </w:r>
    </w:p>
    <w:p w:rsidR="00206258" w:rsidRPr="00C620DA" w:rsidRDefault="002E2CD3" w:rsidP="006E3A1B">
      <w:pPr>
        <w:spacing w:after="0" w:line="240" w:lineRule="auto"/>
        <w:ind w:left="720"/>
        <w:jc w:val="both"/>
        <w:rPr>
          <w:rFonts w:ascii="Times New Roman" w:hAnsi="Times New Roman" w:cs="Times New Roman"/>
          <w:color w:val="0000FF"/>
        </w:rPr>
      </w:pPr>
      <w:r w:rsidRPr="00C620DA">
        <w:rPr>
          <w:rFonts w:ascii="Times New Roman" w:hAnsi="Times New Roman" w:cs="Times New Roman"/>
          <w:b/>
          <w:color w:val="0000FF"/>
        </w:rPr>
        <w:t>b.</w:t>
      </w:r>
      <w:r w:rsidRPr="00C620DA">
        <w:rPr>
          <w:rFonts w:ascii="Times New Roman" w:hAnsi="Times New Roman" w:cs="Times New Roman"/>
          <w:color w:val="0000FF"/>
        </w:rPr>
        <w:t xml:space="preserve"> The source of the mortality assumptions (for example, the published tables on which the assumptions are based or that the assumptions are based on a study of the experience of the covered group)</w:t>
      </w:r>
      <w:r w:rsidR="006E3A1B">
        <w:rPr>
          <w:rFonts w:ascii="Times New Roman" w:hAnsi="Times New Roman" w:cs="Times New Roman"/>
          <w:color w:val="0000FF"/>
        </w:rPr>
        <w:t>.</w:t>
      </w:r>
    </w:p>
    <w:p w:rsidR="00206258" w:rsidRPr="00C620DA" w:rsidRDefault="002E2CD3" w:rsidP="006E3A1B">
      <w:pPr>
        <w:spacing w:after="0" w:line="240" w:lineRule="auto"/>
        <w:ind w:left="720"/>
        <w:jc w:val="both"/>
        <w:rPr>
          <w:rFonts w:ascii="Times New Roman" w:hAnsi="Times New Roman" w:cs="Times New Roman"/>
          <w:color w:val="0000FF"/>
        </w:rPr>
      </w:pPr>
      <w:r w:rsidRPr="00C620DA">
        <w:rPr>
          <w:rFonts w:ascii="Times New Roman" w:hAnsi="Times New Roman" w:cs="Times New Roman"/>
          <w:b/>
          <w:color w:val="0000FF"/>
        </w:rPr>
        <w:t>c.</w:t>
      </w:r>
      <w:r w:rsidRPr="00C620DA">
        <w:rPr>
          <w:rFonts w:ascii="Times New Roman" w:hAnsi="Times New Roman" w:cs="Times New Roman"/>
          <w:color w:val="0000FF"/>
        </w:rPr>
        <w:t xml:space="preserve"> The dates of experience studies on which signiﬁcant assumptions are based</w:t>
      </w:r>
      <w:r w:rsidR="006E3A1B">
        <w:rPr>
          <w:rFonts w:ascii="Times New Roman" w:hAnsi="Times New Roman" w:cs="Times New Roman"/>
          <w:color w:val="0000FF"/>
        </w:rPr>
        <w:t>.</w:t>
      </w:r>
    </w:p>
    <w:p w:rsidR="002E2CD3" w:rsidRPr="00C620DA" w:rsidRDefault="002E2CD3" w:rsidP="006E3A1B">
      <w:pPr>
        <w:spacing w:after="0" w:line="240" w:lineRule="auto"/>
        <w:ind w:left="720"/>
        <w:jc w:val="both"/>
        <w:rPr>
          <w:rFonts w:ascii="Times New Roman" w:hAnsi="Times New Roman" w:cs="Times New Roman"/>
          <w:color w:val="0000FF"/>
        </w:rPr>
      </w:pPr>
      <w:r w:rsidRPr="00C620DA">
        <w:rPr>
          <w:rFonts w:ascii="Times New Roman" w:hAnsi="Times New Roman" w:cs="Times New Roman"/>
          <w:b/>
          <w:color w:val="0000FF"/>
        </w:rPr>
        <w:t>d.</w:t>
      </w:r>
      <w:r w:rsidRPr="00C620DA">
        <w:rPr>
          <w:rFonts w:ascii="Times New Roman" w:hAnsi="Times New Roman" w:cs="Times New Roman"/>
          <w:color w:val="0000FF"/>
        </w:rPr>
        <w:t xml:space="preserve"> If the alternative measurement method is used to measure the total OPEB liability, the source of or basis for all signiﬁcant assumptions selected in conformity with paragraph 225</w:t>
      </w:r>
      <w:r w:rsidR="00C94DEF" w:rsidRPr="00C620DA">
        <w:rPr>
          <w:rFonts w:ascii="Times New Roman" w:hAnsi="Times New Roman" w:cs="Times New Roman"/>
          <w:color w:val="0000FF"/>
        </w:rPr>
        <w:t xml:space="preserve"> of GASB</w:t>
      </w:r>
      <w:r w:rsidR="006E3A1B">
        <w:rPr>
          <w:rFonts w:ascii="Times New Roman" w:hAnsi="Times New Roman" w:cs="Times New Roman"/>
          <w:color w:val="0000FF"/>
        </w:rPr>
        <w:t>S</w:t>
      </w:r>
      <w:r w:rsidR="00C94DEF" w:rsidRPr="00C620DA">
        <w:rPr>
          <w:rFonts w:ascii="Times New Roman" w:hAnsi="Times New Roman" w:cs="Times New Roman"/>
          <w:color w:val="0000FF"/>
        </w:rPr>
        <w:t xml:space="preserve"> 75.</w:t>
      </w:r>
    </w:p>
    <w:p w:rsidR="00C94DEF" w:rsidRPr="006E3A1B" w:rsidRDefault="002E2CD3" w:rsidP="006E3A1B">
      <w:pPr>
        <w:spacing w:after="0" w:line="240" w:lineRule="auto"/>
        <w:ind w:left="720"/>
        <w:jc w:val="both"/>
        <w:rPr>
          <w:rFonts w:ascii="Times New Roman" w:hAnsi="Times New Roman" w:cs="Times New Roman"/>
          <w:color w:val="0000FF"/>
        </w:rPr>
      </w:pPr>
      <w:r w:rsidRPr="00C620DA">
        <w:rPr>
          <w:rFonts w:ascii="Times New Roman" w:hAnsi="Times New Roman" w:cs="Times New Roman"/>
          <w:b/>
          <w:color w:val="0000FF"/>
        </w:rPr>
        <w:t>e.</w:t>
      </w:r>
      <w:r w:rsidRPr="00C620DA">
        <w:rPr>
          <w:rFonts w:ascii="Times New Roman" w:hAnsi="Times New Roman" w:cs="Times New Roman"/>
          <w:color w:val="0000FF"/>
        </w:rPr>
        <w:t xml:space="preserve"> </w:t>
      </w:r>
      <w:r w:rsidR="00C94DEF" w:rsidRPr="00C620DA">
        <w:rPr>
          <w:rFonts w:ascii="Times New Roman" w:hAnsi="Times New Roman" w:cs="Times New Roman"/>
          <w:color w:val="0000FF"/>
          <w:u w:val="single"/>
        </w:rPr>
        <w:t>If applicable</w:t>
      </w:r>
      <w:r w:rsidR="00C94DEF" w:rsidRPr="00C620DA">
        <w:rPr>
          <w:rFonts w:ascii="Times New Roman" w:hAnsi="Times New Roman" w:cs="Times New Roman"/>
          <w:color w:val="0000FF"/>
        </w:rPr>
        <w:t>, m</w:t>
      </w:r>
      <w:r w:rsidRPr="00C620DA">
        <w:rPr>
          <w:rFonts w:ascii="Times New Roman" w:hAnsi="Times New Roman" w:cs="Times New Roman"/>
          <w:color w:val="0000FF"/>
        </w:rPr>
        <w:t>easures of the net OPEB liability calculated using (1) a healthcare cost trend rate that is 1-percentage-point higher than the assumed healthcare cost</w:t>
      </w:r>
      <w:r w:rsidR="00C94DEF" w:rsidRPr="00C620DA">
        <w:rPr>
          <w:rFonts w:ascii="Times New Roman" w:hAnsi="Times New Roman" w:cs="Times New Roman"/>
          <w:color w:val="0000FF"/>
        </w:rPr>
        <w:t xml:space="preserve"> </w:t>
      </w:r>
      <w:r w:rsidRPr="00C620DA">
        <w:rPr>
          <w:rFonts w:ascii="Times New Roman" w:hAnsi="Times New Roman" w:cs="Times New Roman"/>
          <w:color w:val="0000FF"/>
        </w:rPr>
        <w:t>trend</w:t>
      </w:r>
      <w:r w:rsidR="00C94DEF" w:rsidRPr="00C620DA">
        <w:rPr>
          <w:rFonts w:ascii="Times New Roman" w:hAnsi="Times New Roman" w:cs="Times New Roman"/>
          <w:color w:val="0000FF"/>
        </w:rPr>
        <w:t xml:space="preserve"> </w:t>
      </w:r>
      <w:r w:rsidRPr="00C620DA">
        <w:rPr>
          <w:rFonts w:ascii="Times New Roman" w:hAnsi="Times New Roman" w:cs="Times New Roman"/>
          <w:color w:val="0000FF"/>
        </w:rPr>
        <w:t>rate</w:t>
      </w:r>
      <w:r w:rsidR="00C94DEF" w:rsidRPr="00C620DA">
        <w:rPr>
          <w:rFonts w:ascii="Times New Roman" w:hAnsi="Times New Roman" w:cs="Times New Roman"/>
          <w:color w:val="0000FF"/>
        </w:rPr>
        <w:t xml:space="preserve"> </w:t>
      </w:r>
      <w:r w:rsidRPr="00C620DA">
        <w:rPr>
          <w:rFonts w:ascii="Times New Roman" w:hAnsi="Times New Roman" w:cs="Times New Roman"/>
          <w:color w:val="0000FF"/>
        </w:rPr>
        <w:t>and</w:t>
      </w:r>
      <w:r w:rsidR="00C94DEF" w:rsidRPr="00C620DA">
        <w:rPr>
          <w:rFonts w:ascii="Times New Roman" w:hAnsi="Times New Roman" w:cs="Times New Roman"/>
          <w:color w:val="0000FF"/>
        </w:rPr>
        <w:t xml:space="preserve"> </w:t>
      </w:r>
      <w:r w:rsidRPr="00C620DA">
        <w:rPr>
          <w:rFonts w:ascii="Times New Roman" w:hAnsi="Times New Roman" w:cs="Times New Roman"/>
          <w:color w:val="0000FF"/>
        </w:rPr>
        <w:t>(2)</w:t>
      </w:r>
      <w:r w:rsidR="00C94DEF" w:rsidRPr="00C620DA">
        <w:rPr>
          <w:rFonts w:ascii="Times New Roman" w:hAnsi="Times New Roman" w:cs="Times New Roman"/>
          <w:color w:val="0000FF"/>
        </w:rPr>
        <w:t xml:space="preserve"> </w:t>
      </w:r>
      <w:r w:rsidRPr="00C620DA">
        <w:rPr>
          <w:rFonts w:ascii="Times New Roman" w:hAnsi="Times New Roman" w:cs="Times New Roman"/>
          <w:color w:val="0000FF"/>
        </w:rPr>
        <w:t>a</w:t>
      </w:r>
      <w:r w:rsidR="00C94DEF" w:rsidRPr="00C620DA">
        <w:rPr>
          <w:rFonts w:ascii="Times New Roman" w:hAnsi="Times New Roman" w:cs="Times New Roman"/>
          <w:color w:val="0000FF"/>
        </w:rPr>
        <w:t xml:space="preserve"> </w:t>
      </w:r>
      <w:r w:rsidRPr="00C620DA">
        <w:rPr>
          <w:rFonts w:ascii="Times New Roman" w:hAnsi="Times New Roman" w:cs="Times New Roman"/>
          <w:color w:val="0000FF"/>
        </w:rPr>
        <w:t>healthcare</w:t>
      </w:r>
      <w:r w:rsidR="00C94DEF" w:rsidRPr="00C620DA">
        <w:rPr>
          <w:rFonts w:ascii="Times New Roman" w:hAnsi="Times New Roman" w:cs="Times New Roman"/>
          <w:color w:val="0000FF"/>
        </w:rPr>
        <w:t xml:space="preserve"> </w:t>
      </w:r>
      <w:r w:rsidRPr="00C620DA">
        <w:rPr>
          <w:rFonts w:ascii="Times New Roman" w:hAnsi="Times New Roman" w:cs="Times New Roman"/>
          <w:color w:val="0000FF"/>
        </w:rPr>
        <w:t>cost</w:t>
      </w:r>
      <w:r w:rsidR="00C94DEF" w:rsidRPr="00C620DA">
        <w:rPr>
          <w:rFonts w:ascii="Times New Roman" w:hAnsi="Times New Roman" w:cs="Times New Roman"/>
          <w:color w:val="0000FF"/>
        </w:rPr>
        <w:t xml:space="preserve"> </w:t>
      </w:r>
      <w:r w:rsidRPr="00C620DA">
        <w:rPr>
          <w:rFonts w:ascii="Times New Roman" w:hAnsi="Times New Roman" w:cs="Times New Roman"/>
          <w:color w:val="0000FF"/>
        </w:rPr>
        <w:t>trend</w:t>
      </w:r>
      <w:r w:rsidR="00C94DEF" w:rsidRPr="00C620DA">
        <w:rPr>
          <w:rFonts w:ascii="Times New Roman" w:hAnsi="Times New Roman" w:cs="Times New Roman"/>
          <w:color w:val="0000FF"/>
        </w:rPr>
        <w:t xml:space="preserve"> </w:t>
      </w:r>
      <w:r w:rsidRPr="00C620DA">
        <w:rPr>
          <w:rFonts w:ascii="Times New Roman" w:hAnsi="Times New Roman" w:cs="Times New Roman"/>
          <w:color w:val="0000FF"/>
        </w:rPr>
        <w:t>rate</w:t>
      </w:r>
      <w:r w:rsidR="00C94DEF" w:rsidRPr="00C620DA">
        <w:rPr>
          <w:rFonts w:ascii="Times New Roman" w:hAnsi="Times New Roman" w:cs="Times New Roman"/>
          <w:color w:val="0000FF"/>
        </w:rPr>
        <w:t xml:space="preserve"> </w:t>
      </w:r>
      <w:r w:rsidRPr="00C620DA">
        <w:rPr>
          <w:rFonts w:ascii="Times New Roman" w:hAnsi="Times New Roman" w:cs="Times New Roman"/>
          <w:color w:val="0000FF"/>
        </w:rPr>
        <w:t>that</w:t>
      </w:r>
      <w:r w:rsidR="00C94DEF" w:rsidRPr="00C620DA">
        <w:rPr>
          <w:rFonts w:ascii="Times New Roman" w:hAnsi="Times New Roman" w:cs="Times New Roman"/>
          <w:color w:val="0000FF"/>
        </w:rPr>
        <w:t xml:space="preserve"> </w:t>
      </w:r>
      <w:r w:rsidRPr="00C620DA">
        <w:rPr>
          <w:rFonts w:ascii="Times New Roman" w:hAnsi="Times New Roman" w:cs="Times New Roman"/>
          <w:color w:val="0000FF"/>
        </w:rPr>
        <w:t>is</w:t>
      </w:r>
      <w:r w:rsidR="00C94DEF" w:rsidRPr="00C620DA">
        <w:rPr>
          <w:rFonts w:ascii="Times New Roman" w:hAnsi="Times New Roman" w:cs="Times New Roman"/>
          <w:color w:val="0000FF"/>
        </w:rPr>
        <w:t xml:space="preserve"> </w:t>
      </w:r>
      <w:r w:rsidRPr="00C620DA">
        <w:rPr>
          <w:rFonts w:ascii="Times New Roman" w:hAnsi="Times New Roman" w:cs="Times New Roman"/>
          <w:color w:val="0000FF"/>
        </w:rPr>
        <w:t>1-percentage-point lower than the assumed healthcare cost trend rate</w:t>
      </w:r>
      <w:r w:rsidRPr="006E3A1B">
        <w:rPr>
          <w:rFonts w:ascii="Times New Roman" w:hAnsi="Times New Roman" w:cs="Times New Roman"/>
          <w:color w:val="0000FF"/>
        </w:rPr>
        <w:t>.</w:t>
      </w:r>
      <w:r w:rsidR="006E3A1B" w:rsidRPr="006E3A1B">
        <w:rPr>
          <w:rFonts w:ascii="Times New Roman" w:hAnsi="Times New Roman" w:cs="Times New Roman"/>
          <w:color w:val="0000FF"/>
        </w:rPr>
        <w:t xml:space="preserve">  </w:t>
      </w:r>
      <w:r w:rsidR="00C94DEF" w:rsidRPr="006E3A1B">
        <w:rPr>
          <w:rFonts w:ascii="Times New Roman" w:hAnsi="Times New Roman" w:cs="Times New Roman"/>
          <w:color w:val="0000FF"/>
        </w:rPr>
        <w:t>Note</w:t>
      </w:r>
      <w:r w:rsidR="006E3A1B" w:rsidRPr="006E3A1B">
        <w:rPr>
          <w:rFonts w:ascii="Times New Roman" w:hAnsi="Times New Roman" w:cs="Times New Roman"/>
          <w:color w:val="0000FF"/>
        </w:rPr>
        <w:t xml:space="preserve">: </w:t>
      </w:r>
      <w:r w:rsidR="00C94DEF" w:rsidRPr="006E3A1B">
        <w:rPr>
          <w:rFonts w:ascii="Times New Roman" w:hAnsi="Times New Roman" w:cs="Times New Roman"/>
          <w:color w:val="0000FF"/>
        </w:rPr>
        <w:t>this information should come from your actuarial valuation.</w:t>
      </w:r>
    </w:p>
    <w:p w:rsidR="00C94DEF" w:rsidRPr="00C620DA" w:rsidRDefault="00C94DEF" w:rsidP="006E3A1B">
      <w:pPr>
        <w:autoSpaceDE w:val="0"/>
        <w:autoSpaceDN w:val="0"/>
        <w:adjustRightInd w:val="0"/>
        <w:spacing w:after="0" w:line="240" w:lineRule="auto"/>
        <w:ind w:left="720"/>
        <w:jc w:val="both"/>
        <w:rPr>
          <w:rFonts w:ascii="Times New Roman" w:hAnsi="Times New Roman" w:cs="Times New Roman"/>
          <w:color w:val="1F4E79" w:themeColor="accent1" w:themeShade="80"/>
        </w:rPr>
      </w:pPr>
    </w:p>
    <w:p w:rsidR="00C94DEF" w:rsidRPr="006E3A1B" w:rsidRDefault="00C94DEF" w:rsidP="00C620DA">
      <w:pPr>
        <w:autoSpaceDE w:val="0"/>
        <w:autoSpaceDN w:val="0"/>
        <w:adjustRightInd w:val="0"/>
        <w:spacing w:after="0" w:line="240" w:lineRule="auto"/>
        <w:jc w:val="both"/>
        <w:rPr>
          <w:rFonts w:ascii="Times New Roman" w:hAnsi="Times New Roman" w:cs="Times New Roman"/>
          <w:i/>
        </w:rPr>
      </w:pPr>
      <w:r w:rsidRPr="006E3A1B">
        <w:rPr>
          <w:rFonts w:ascii="Times New Roman" w:hAnsi="Times New Roman" w:cs="Times New Roman"/>
          <w:i/>
        </w:rPr>
        <w:t xml:space="preserve">The following presents the net OPEB liability of the </w:t>
      </w:r>
      <w:r w:rsidR="006E3A1B" w:rsidRPr="00A45C06">
        <w:rPr>
          <w:rFonts w:ascii="Times New Roman" w:hAnsi="Times New Roman" w:cs="Times New Roman"/>
          <w:i/>
          <w:u w:val="single"/>
        </w:rPr>
        <w:t>(city/county/district)</w:t>
      </w:r>
      <w:r w:rsidRPr="006E3A1B">
        <w:rPr>
          <w:rFonts w:ascii="Times New Roman" w:hAnsi="Times New Roman" w:cs="Times New Roman"/>
          <w:i/>
        </w:rPr>
        <w:t xml:space="preserve"> calculated using the current healthcare cost trend rate of 6.8 percent, as well as what the OPEB liability would be if it were calculated using a discount rate that is 1-percentage point lower (5.8</w:t>
      </w:r>
      <w:r w:rsidR="006E3A1B">
        <w:rPr>
          <w:rFonts w:ascii="Times New Roman" w:hAnsi="Times New Roman" w:cs="Times New Roman"/>
          <w:i/>
        </w:rPr>
        <w:t xml:space="preserve"> percent</w:t>
      </w:r>
      <w:r w:rsidRPr="006E3A1B">
        <w:rPr>
          <w:rFonts w:ascii="Times New Roman" w:hAnsi="Times New Roman" w:cs="Times New Roman"/>
          <w:i/>
        </w:rPr>
        <w:t>) or 1-percentage point higher (7.8</w:t>
      </w:r>
      <w:r w:rsidR="006E3A1B">
        <w:rPr>
          <w:rFonts w:ascii="Times New Roman" w:hAnsi="Times New Roman" w:cs="Times New Roman"/>
          <w:i/>
        </w:rPr>
        <w:t xml:space="preserve"> percent</w:t>
      </w:r>
      <w:r w:rsidRPr="006E3A1B">
        <w:rPr>
          <w:rFonts w:ascii="Times New Roman" w:hAnsi="Times New Roman" w:cs="Times New Roman"/>
          <w:i/>
        </w:rPr>
        <w:t>) that the current rate.</w:t>
      </w:r>
    </w:p>
    <w:p w:rsidR="00C94DEF" w:rsidRPr="006E3A1B" w:rsidRDefault="00C94DEF" w:rsidP="00C620DA">
      <w:pPr>
        <w:autoSpaceDE w:val="0"/>
        <w:autoSpaceDN w:val="0"/>
        <w:adjustRightInd w:val="0"/>
        <w:spacing w:after="0" w:line="240" w:lineRule="auto"/>
        <w:jc w:val="both"/>
        <w:rPr>
          <w:rFonts w:ascii="Times New Roman" w:hAnsi="Times New Roman" w:cs="Times New Roman"/>
          <w:i/>
        </w:rPr>
      </w:pPr>
    </w:p>
    <w:tbl>
      <w:tblPr>
        <w:tblStyle w:val="TableGrid"/>
        <w:tblW w:w="0" w:type="auto"/>
        <w:tblInd w:w="1008" w:type="dxa"/>
        <w:tblLook w:val="04A0" w:firstRow="1" w:lastRow="0" w:firstColumn="1" w:lastColumn="0" w:noHBand="0" w:noVBand="1"/>
      </w:tblPr>
      <w:tblGrid>
        <w:gridCol w:w="2070"/>
        <w:gridCol w:w="1710"/>
        <w:gridCol w:w="1890"/>
        <w:gridCol w:w="1440"/>
      </w:tblGrid>
      <w:tr w:rsidR="006E3A1B" w:rsidRPr="006E3A1B" w:rsidTr="00FC5CC0">
        <w:tc>
          <w:tcPr>
            <w:tcW w:w="2070" w:type="dxa"/>
          </w:tcPr>
          <w:p w:rsidR="00C94DEF" w:rsidRPr="006E3A1B" w:rsidRDefault="00C94DEF" w:rsidP="00C620DA">
            <w:pPr>
              <w:autoSpaceDE w:val="0"/>
              <w:autoSpaceDN w:val="0"/>
              <w:adjustRightInd w:val="0"/>
              <w:jc w:val="both"/>
              <w:rPr>
                <w:rFonts w:ascii="Times New Roman" w:hAnsi="Times New Roman" w:cs="Times New Roman"/>
                <w:i/>
              </w:rPr>
            </w:pPr>
          </w:p>
        </w:tc>
        <w:tc>
          <w:tcPr>
            <w:tcW w:w="1710" w:type="dxa"/>
          </w:tcPr>
          <w:p w:rsidR="00C94DEF" w:rsidRPr="006E3A1B" w:rsidRDefault="00C94DEF" w:rsidP="006E3A1B">
            <w:pPr>
              <w:autoSpaceDE w:val="0"/>
              <w:autoSpaceDN w:val="0"/>
              <w:adjustRightInd w:val="0"/>
              <w:jc w:val="center"/>
              <w:rPr>
                <w:rFonts w:ascii="Times New Roman" w:hAnsi="Times New Roman" w:cs="Times New Roman"/>
                <w:i/>
              </w:rPr>
            </w:pPr>
            <w:r w:rsidRPr="006E3A1B">
              <w:rPr>
                <w:rFonts w:ascii="Times New Roman" w:hAnsi="Times New Roman" w:cs="Times New Roman"/>
                <w:i/>
              </w:rPr>
              <w:t>1% Decrease</w:t>
            </w:r>
          </w:p>
          <w:p w:rsidR="00C94DEF" w:rsidRPr="006E3A1B" w:rsidRDefault="00C94DEF" w:rsidP="006E3A1B">
            <w:pPr>
              <w:autoSpaceDE w:val="0"/>
              <w:autoSpaceDN w:val="0"/>
              <w:adjustRightInd w:val="0"/>
              <w:jc w:val="center"/>
              <w:rPr>
                <w:rFonts w:ascii="Times New Roman" w:hAnsi="Times New Roman" w:cs="Times New Roman"/>
                <w:i/>
              </w:rPr>
            </w:pPr>
            <w:r w:rsidRPr="006E3A1B">
              <w:rPr>
                <w:rFonts w:ascii="Times New Roman" w:hAnsi="Times New Roman" w:cs="Times New Roman"/>
                <w:i/>
              </w:rPr>
              <w:t>(5.8%)</w:t>
            </w:r>
          </w:p>
        </w:tc>
        <w:tc>
          <w:tcPr>
            <w:tcW w:w="1890" w:type="dxa"/>
          </w:tcPr>
          <w:p w:rsidR="00C94DEF" w:rsidRPr="006E3A1B" w:rsidRDefault="00C94DEF" w:rsidP="006E3A1B">
            <w:pPr>
              <w:autoSpaceDE w:val="0"/>
              <w:autoSpaceDN w:val="0"/>
              <w:adjustRightInd w:val="0"/>
              <w:jc w:val="center"/>
              <w:rPr>
                <w:rFonts w:ascii="Times New Roman" w:hAnsi="Times New Roman" w:cs="Times New Roman"/>
                <w:i/>
              </w:rPr>
            </w:pPr>
            <w:r w:rsidRPr="006E3A1B">
              <w:rPr>
                <w:rFonts w:ascii="Times New Roman" w:hAnsi="Times New Roman" w:cs="Times New Roman"/>
                <w:i/>
              </w:rPr>
              <w:t xml:space="preserve">Current </w:t>
            </w:r>
            <w:r w:rsidR="00966902" w:rsidRPr="006E3A1B">
              <w:rPr>
                <w:rFonts w:ascii="Times New Roman" w:hAnsi="Times New Roman" w:cs="Times New Roman"/>
                <w:i/>
              </w:rPr>
              <w:t>Healthcare Cost Trend</w:t>
            </w:r>
            <w:r w:rsidRPr="006E3A1B">
              <w:rPr>
                <w:rFonts w:ascii="Times New Roman" w:hAnsi="Times New Roman" w:cs="Times New Roman"/>
                <w:i/>
              </w:rPr>
              <w:t xml:space="preserve"> Rate</w:t>
            </w:r>
          </w:p>
          <w:p w:rsidR="00C94DEF" w:rsidRPr="006E3A1B" w:rsidRDefault="00C94DEF" w:rsidP="006E3A1B">
            <w:pPr>
              <w:autoSpaceDE w:val="0"/>
              <w:autoSpaceDN w:val="0"/>
              <w:adjustRightInd w:val="0"/>
              <w:jc w:val="center"/>
              <w:rPr>
                <w:rFonts w:ascii="Times New Roman" w:hAnsi="Times New Roman" w:cs="Times New Roman"/>
                <w:i/>
              </w:rPr>
            </w:pPr>
            <w:r w:rsidRPr="006E3A1B">
              <w:rPr>
                <w:rFonts w:ascii="Times New Roman" w:hAnsi="Times New Roman" w:cs="Times New Roman"/>
                <w:i/>
              </w:rPr>
              <w:t>(6.8%)</w:t>
            </w:r>
          </w:p>
        </w:tc>
        <w:tc>
          <w:tcPr>
            <w:tcW w:w="1440" w:type="dxa"/>
          </w:tcPr>
          <w:p w:rsidR="00C94DEF" w:rsidRPr="006E3A1B" w:rsidRDefault="00C94DEF" w:rsidP="006E3A1B">
            <w:pPr>
              <w:autoSpaceDE w:val="0"/>
              <w:autoSpaceDN w:val="0"/>
              <w:adjustRightInd w:val="0"/>
              <w:jc w:val="center"/>
              <w:rPr>
                <w:rFonts w:ascii="Times New Roman" w:hAnsi="Times New Roman" w:cs="Times New Roman"/>
                <w:i/>
              </w:rPr>
            </w:pPr>
            <w:r w:rsidRPr="006E3A1B">
              <w:rPr>
                <w:rFonts w:ascii="Times New Roman" w:hAnsi="Times New Roman" w:cs="Times New Roman"/>
                <w:i/>
              </w:rPr>
              <w:t>1% Increase</w:t>
            </w:r>
          </w:p>
          <w:p w:rsidR="00C94DEF" w:rsidRPr="006E3A1B" w:rsidRDefault="00C94DEF" w:rsidP="006E3A1B">
            <w:pPr>
              <w:autoSpaceDE w:val="0"/>
              <w:autoSpaceDN w:val="0"/>
              <w:adjustRightInd w:val="0"/>
              <w:jc w:val="center"/>
              <w:rPr>
                <w:rFonts w:ascii="Times New Roman" w:hAnsi="Times New Roman" w:cs="Times New Roman"/>
                <w:i/>
              </w:rPr>
            </w:pPr>
            <w:r w:rsidRPr="006E3A1B">
              <w:rPr>
                <w:rFonts w:ascii="Times New Roman" w:hAnsi="Times New Roman" w:cs="Times New Roman"/>
                <w:i/>
              </w:rPr>
              <w:t>(7.8%)</w:t>
            </w:r>
          </w:p>
        </w:tc>
      </w:tr>
      <w:tr w:rsidR="00C94DEF" w:rsidRPr="006E3A1B" w:rsidTr="00FC5CC0">
        <w:tc>
          <w:tcPr>
            <w:tcW w:w="2070" w:type="dxa"/>
          </w:tcPr>
          <w:p w:rsidR="00C94DEF" w:rsidRPr="006E3A1B" w:rsidRDefault="00C94DEF" w:rsidP="00C620DA">
            <w:pPr>
              <w:autoSpaceDE w:val="0"/>
              <w:autoSpaceDN w:val="0"/>
              <w:adjustRightInd w:val="0"/>
              <w:jc w:val="both"/>
              <w:rPr>
                <w:rFonts w:ascii="Times New Roman" w:hAnsi="Times New Roman" w:cs="Times New Roman"/>
                <w:i/>
              </w:rPr>
            </w:pPr>
            <w:r w:rsidRPr="006E3A1B">
              <w:rPr>
                <w:rFonts w:ascii="Times New Roman" w:hAnsi="Times New Roman" w:cs="Times New Roman"/>
                <w:i/>
              </w:rPr>
              <w:t>Net OPEB Liability</w:t>
            </w:r>
          </w:p>
        </w:tc>
        <w:tc>
          <w:tcPr>
            <w:tcW w:w="1710" w:type="dxa"/>
          </w:tcPr>
          <w:p w:rsidR="00C94DEF" w:rsidRPr="006E3A1B" w:rsidRDefault="00C94DEF" w:rsidP="00C620DA">
            <w:pPr>
              <w:autoSpaceDE w:val="0"/>
              <w:autoSpaceDN w:val="0"/>
              <w:adjustRightInd w:val="0"/>
              <w:jc w:val="both"/>
              <w:rPr>
                <w:rFonts w:ascii="Times New Roman" w:hAnsi="Times New Roman" w:cs="Times New Roman"/>
                <w:i/>
              </w:rPr>
            </w:pPr>
            <w:r w:rsidRPr="006E3A1B">
              <w:rPr>
                <w:rFonts w:ascii="Times New Roman" w:hAnsi="Times New Roman" w:cs="Times New Roman"/>
                <w:i/>
              </w:rPr>
              <w:t>$5,000,000</w:t>
            </w:r>
          </w:p>
        </w:tc>
        <w:tc>
          <w:tcPr>
            <w:tcW w:w="1890" w:type="dxa"/>
          </w:tcPr>
          <w:p w:rsidR="00C94DEF" w:rsidRPr="006E3A1B" w:rsidRDefault="00C94DEF" w:rsidP="00C620DA">
            <w:pPr>
              <w:autoSpaceDE w:val="0"/>
              <w:autoSpaceDN w:val="0"/>
              <w:adjustRightInd w:val="0"/>
              <w:jc w:val="both"/>
              <w:rPr>
                <w:rFonts w:ascii="Times New Roman" w:hAnsi="Times New Roman" w:cs="Times New Roman"/>
                <w:i/>
              </w:rPr>
            </w:pPr>
            <w:r w:rsidRPr="006E3A1B">
              <w:rPr>
                <w:rFonts w:ascii="Times New Roman" w:hAnsi="Times New Roman" w:cs="Times New Roman"/>
                <w:i/>
              </w:rPr>
              <w:t>$3,000,000</w:t>
            </w:r>
          </w:p>
        </w:tc>
        <w:tc>
          <w:tcPr>
            <w:tcW w:w="1440" w:type="dxa"/>
          </w:tcPr>
          <w:p w:rsidR="00C94DEF" w:rsidRPr="006E3A1B" w:rsidRDefault="00C94DEF" w:rsidP="00C620DA">
            <w:pPr>
              <w:autoSpaceDE w:val="0"/>
              <w:autoSpaceDN w:val="0"/>
              <w:adjustRightInd w:val="0"/>
              <w:jc w:val="both"/>
              <w:rPr>
                <w:rFonts w:ascii="Times New Roman" w:hAnsi="Times New Roman" w:cs="Times New Roman"/>
                <w:i/>
              </w:rPr>
            </w:pPr>
            <w:r w:rsidRPr="006E3A1B">
              <w:rPr>
                <w:rFonts w:ascii="Times New Roman" w:hAnsi="Times New Roman" w:cs="Times New Roman"/>
                <w:i/>
              </w:rPr>
              <w:t>$1,500,000</w:t>
            </w:r>
          </w:p>
        </w:tc>
      </w:tr>
    </w:tbl>
    <w:p w:rsidR="00C94DEF" w:rsidRPr="006E3A1B" w:rsidRDefault="00C94DEF" w:rsidP="00C620DA">
      <w:pPr>
        <w:spacing w:after="0" w:line="240" w:lineRule="auto"/>
        <w:jc w:val="both"/>
        <w:rPr>
          <w:rFonts w:ascii="Times New Roman" w:hAnsi="Times New Roman" w:cs="Times New Roman"/>
          <w:i/>
        </w:rPr>
      </w:pPr>
    </w:p>
    <w:p w:rsidR="002E2CD3" w:rsidRDefault="002E2CD3" w:rsidP="00C620DA">
      <w:pPr>
        <w:spacing w:after="0" w:line="240" w:lineRule="auto"/>
        <w:jc w:val="both"/>
        <w:rPr>
          <w:rFonts w:ascii="Times New Roman" w:hAnsi="Times New Roman" w:cs="Times New Roman"/>
          <w:color w:val="0000FF"/>
        </w:rPr>
      </w:pPr>
      <w:r w:rsidRPr="006E3A1B">
        <w:rPr>
          <w:rFonts w:ascii="Times New Roman" w:hAnsi="Times New Roman" w:cs="Times New Roman"/>
          <w:color w:val="0000FF"/>
        </w:rPr>
        <w:t xml:space="preserve">The following information should be disclosed about the </w:t>
      </w:r>
      <w:r w:rsidRPr="006E3A1B">
        <w:rPr>
          <w:rFonts w:ascii="Times New Roman" w:hAnsi="Times New Roman" w:cs="Times New Roman"/>
          <w:b/>
          <w:color w:val="0000FF"/>
        </w:rPr>
        <w:t>discount rate</w:t>
      </w:r>
      <w:r w:rsidRPr="006E3A1B">
        <w:rPr>
          <w:rFonts w:ascii="Times New Roman" w:hAnsi="Times New Roman" w:cs="Times New Roman"/>
          <w:color w:val="0000FF"/>
        </w:rPr>
        <w:t>:</w:t>
      </w:r>
    </w:p>
    <w:p w:rsidR="006E3A1B" w:rsidRPr="006E3A1B" w:rsidRDefault="006E3A1B" w:rsidP="00C620DA">
      <w:pPr>
        <w:spacing w:after="0" w:line="240" w:lineRule="auto"/>
        <w:jc w:val="both"/>
        <w:rPr>
          <w:rFonts w:ascii="Times New Roman" w:hAnsi="Times New Roman" w:cs="Times New Roman"/>
          <w:color w:val="0000FF"/>
        </w:rPr>
      </w:pPr>
    </w:p>
    <w:p w:rsidR="00C94DEF" w:rsidRPr="006E3A1B" w:rsidRDefault="002E2CD3" w:rsidP="006E3A1B">
      <w:pPr>
        <w:spacing w:after="0" w:line="240" w:lineRule="auto"/>
        <w:ind w:left="720"/>
        <w:jc w:val="both"/>
        <w:rPr>
          <w:rFonts w:ascii="Times New Roman" w:hAnsi="Times New Roman" w:cs="Times New Roman"/>
          <w:color w:val="0000FF"/>
        </w:rPr>
      </w:pPr>
      <w:r w:rsidRPr="006E3A1B">
        <w:rPr>
          <w:rFonts w:ascii="Times New Roman" w:hAnsi="Times New Roman" w:cs="Times New Roman"/>
          <w:b/>
          <w:color w:val="0000FF"/>
        </w:rPr>
        <w:t>a.</w:t>
      </w:r>
      <w:r w:rsidRPr="006E3A1B">
        <w:rPr>
          <w:rFonts w:ascii="Times New Roman" w:hAnsi="Times New Roman" w:cs="Times New Roman"/>
          <w:color w:val="0000FF"/>
        </w:rPr>
        <w:t xml:space="preserve"> The discount rate applied in the measurement of the total OPEB liability and the change in the discount rate since the prior measurement date, if any</w:t>
      </w:r>
    </w:p>
    <w:p w:rsidR="00C94DEF" w:rsidRPr="006E3A1B" w:rsidRDefault="002E2CD3" w:rsidP="006E3A1B">
      <w:pPr>
        <w:spacing w:after="0" w:line="240" w:lineRule="auto"/>
        <w:ind w:left="720"/>
        <w:jc w:val="both"/>
        <w:rPr>
          <w:rFonts w:ascii="Times New Roman" w:hAnsi="Times New Roman" w:cs="Times New Roman"/>
          <w:color w:val="0000FF"/>
        </w:rPr>
      </w:pPr>
      <w:r w:rsidRPr="006E3A1B">
        <w:rPr>
          <w:rFonts w:ascii="Times New Roman" w:hAnsi="Times New Roman" w:cs="Times New Roman"/>
          <w:b/>
          <w:color w:val="0000FF"/>
        </w:rPr>
        <w:t>b.</w:t>
      </w:r>
      <w:r w:rsidRPr="006E3A1B">
        <w:rPr>
          <w:rFonts w:ascii="Times New Roman" w:hAnsi="Times New Roman" w:cs="Times New Roman"/>
          <w:color w:val="0000FF"/>
        </w:rPr>
        <w:t xml:space="preserve"> Assumptions made about projected cash ﬂows into and out of the OPEB plan, such as contributions from the employer, nonemployer contributing entities, and employees</w:t>
      </w:r>
    </w:p>
    <w:p w:rsidR="00C94DEF" w:rsidRPr="006E3A1B" w:rsidRDefault="002E2CD3" w:rsidP="006E3A1B">
      <w:pPr>
        <w:spacing w:after="0" w:line="240" w:lineRule="auto"/>
        <w:ind w:left="720"/>
        <w:jc w:val="both"/>
        <w:rPr>
          <w:rFonts w:ascii="Times New Roman" w:hAnsi="Times New Roman" w:cs="Times New Roman"/>
          <w:color w:val="0000FF"/>
        </w:rPr>
      </w:pPr>
      <w:r w:rsidRPr="006E3A1B">
        <w:rPr>
          <w:rFonts w:ascii="Times New Roman" w:hAnsi="Times New Roman" w:cs="Times New Roman"/>
          <w:b/>
          <w:color w:val="0000FF"/>
        </w:rPr>
        <w:t>c.</w:t>
      </w:r>
      <w:r w:rsidRPr="006E3A1B">
        <w:rPr>
          <w:rFonts w:ascii="Times New Roman" w:hAnsi="Times New Roman" w:cs="Times New Roman"/>
          <w:color w:val="0000FF"/>
        </w:rPr>
        <w:t xml:space="preserve"> The long-term expected rate of return on OPEB plan investments and a brief description of how it was determined, including signiﬁcant methods and assumptions used for that purpose</w:t>
      </w:r>
    </w:p>
    <w:p w:rsidR="00C94DEF" w:rsidRPr="006E3A1B" w:rsidRDefault="002E2CD3" w:rsidP="006E3A1B">
      <w:pPr>
        <w:spacing w:after="0" w:line="240" w:lineRule="auto"/>
        <w:ind w:left="720"/>
        <w:jc w:val="both"/>
        <w:rPr>
          <w:rFonts w:ascii="Times New Roman" w:hAnsi="Times New Roman" w:cs="Times New Roman"/>
          <w:color w:val="0000FF"/>
        </w:rPr>
      </w:pPr>
      <w:r w:rsidRPr="006E3A1B">
        <w:rPr>
          <w:rFonts w:ascii="Times New Roman" w:hAnsi="Times New Roman" w:cs="Times New Roman"/>
          <w:b/>
          <w:color w:val="0000FF"/>
        </w:rPr>
        <w:t>d.</w:t>
      </w:r>
      <w:r w:rsidRPr="006E3A1B">
        <w:rPr>
          <w:rFonts w:ascii="Times New Roman" w:hAnsi="Times New Roman" w:cs="Times New Roman"/>
          <w:color w:val="0000FF"/>
        </w:rPr>
        <w:t xml:space="preserve"> If the discount rate incorporates a municipal bond rate, the municipal bond rate used and the source of that rate</w:t>
      </w:r>
    </w:p>
    <w:p w:rsidR="00C94DEF" w:rsidRPr="006E3A1B" w:rsidRDefault="002E2CD3" w:rsidP="006E3A1B">
      <w:pPr>
        <w:spacing w:after="0" w:line="240" w:lineRule="auto"/>
        <w:ind w:left="720"/>
        <w:jc w:val="both"/>
        <w:rPr>
          <w:rFonts w:ascii="Times New Roman" w:hAnsi="Times New Roman" w:cs="Times New Roman"/>
          <w:color w:val="0000FF"/>
        </w:rPr>
      </w:pPr>
      <w:r w:rsidRPr="006E3A1B">
        <w:rPr>
          <w:rFonts w:ascii="Times New Roman" w:hAnsi="Times New Roman" w:cs="Times New Roman"/>
          <w:b/>
          <w:color w:val="0000FF"/>
        </w:rPr>
        <w:t>e.</w:t>
      </w:r>
      <w:r w:rsidRPr="006E3A1B">
        <w:rPr>
          <w:rFonts w:ascii="Times New Roman" w:hAnsi="Times New Roman" w:cs="Times New Roman"/>
          <w:color w:val="0000FF"/>
        </w:rPr>
        <w:t xml:space="preserve"> The periods of projected beneﬁt payments to which the long-term expected rate</w:t>
      </w:r>
      <w:r w:rsidR="00C94DEF" w:rsidRPr="006E3A1B">
        <w:rPr>
          <w:rFonts w:ascii="Times New Roman" w:hAnsi="Times New Roman" w:cs="Times New Roman"/>
          <w:color w:val="0000FF"/>
        </w:rPr>
        <w:t xml:space="preserve"> </w:t>
      </w:r>
      <w:r w:rsidRPr="006E3A1B">
        <w:rPr>
          <w:rFonts w:ascii="Times New Roman" w:hAnsi="Times New Roman" w:cs="Times New Roman"/>
          <w:color w:val="0000FF"/>
        </w:rPr>
        <w:t>of</w:t>
      </w:r>
      <w:r w:rsidR="00C94DEF" w:rsidRPr="006E3A1B">
        <w:rPr>
          <w:rFonts w:ascii="Times New Roman" w:hAnsi="Times New Roman" w:cs="Times New Roman"/>
          <w:color w:val="0000FF"/>
        </w:rPr>
        <w:t xml:space="preserve"> </w:t>
      </w:r>
      <w:r w:rsidRPr="006E3A1B">
        <w:rPr>
          <w:rFonts w:ascii="Times New Roman" w:hAnsi="Times New Roman" w:cs="Times New Roman"/>
          <w:color w:val="0000FF"/>
        </w:rPr>
        <w:t>return</w:t>
      </w:r>
      <w:r w:rsidR="00C94DEF" w:rsidRPr="006E3A1B">
        <w:rPr>
          <w:rFonts w:ascii="Times New Roman" w:hAnsi="Times New Roman" w:cs="Times New Roman"/>
          <w:color w:val="0000FF"/>
        </w:rPr>
        <w:t xml:space="preserve"> </w:t>
      </w:r>
      <w:r w:rsidRPr="006E3A1B">
        <w:rPr>
          <w:rFonts w:ascii="Times New Roman" w:hAnsi="Times New Roman" w:cs="Times New Roman"/>
          <w:color w:val="0000FF"/>
        </w:rPr>
        <w:t>and,</w:t>
      </w:r>
      <w:r w:rsidR="00C94DEF" w:rsidRPr="006E3A1B">
        <w:rPr>
          <w:rFonts w:ascii="Times New Roman" w:hAnsi="Times New Roman" w:cs="Times New Roman"/>
          <w:color w:val="0000FF"/>
        </w:rPr>
        <w:t xml:space="preserve"> </w:t>
      </w:r>
      <w:r w:rsidRPr="006E3A1B">
        <w:rPr>
          <w:rFonts w:ascii="Times New Roman" w:hAnsi="Times New Roman" w:cs="Times New Roman"/>
          <w:color w:val="0000FF"/>
        </w:rPr>
        <w:t>if</w:t>
      </w:r>
      <w:r w:rsidR="00C94DEF" w:rsidRPr="006E3A1B">
        <w:rPr>
          <w:rFonts w:ascii="Times New Roman" w:hAnsi="Times New Roman" w:cs="Times New Roman"/>
          <w:color w:val="0000FF"/>
        </w:rPr>
        <w:t xml:space="preserve"> </w:t>
      </w:r>
      <w:r w:rsidRPr="006E3A1B">
        <w:rPr>
          <w:rFonts w:ascii="Times New Roman" w:hAnsi="Times New Roman" w:cs="Times New Roman"/>
          <w:color w:val="0000FF"/>
        </w:rPr>
        <w:t>used,</w:t>
      </w:r>
      <w:r w:rsidR="00C94DEF" w:rsidRPr="006E3A1B">
        <w:rPr>
          <w:rFonts w:ascii="Times New Roman" w:hAnsi="Times New Roman" w:cs="Times New Roman"/>
          <w:color w:val="0000FF"/>
        </w:rPr>
        <w:t xml:space="preserve"> </w:t>
      </w:r>
      <w:r w:rsidRPr="006E3A1B">
        <w:rPr>
          <w:rFonts w:ascii="Times New Roman" w:hAnsi="Times New Roman" w:cs="Times New Roman"/>
          <w:color w:val="0000FF"/>
        </w:rPr>
        <w:t>the</w:t>
      </w:r>
      <w:r w:rsidR="00C94DEF" w:rsidRPr="006E3A1B">
        <w:rPr>
          <w:rFonts w:ascii="Times New Roman" w:hAnsi="Times New Roman" w:cs="Times New Roman"/>
          <w:color w:val="0000FF"/>
        </w:rPr>
        <w:t xml:space="preserve"> </w:t>
      </w:r>
      <w:r w:rsidRPr="006E3A1B">
        <w:rPr>
          <w:rFonts w:ascii="Times New Roman" w:hAnsi="Times New Roman" w:cs="Times New Roman"/>
          <w:color w:val="0000FF"/>
        </w:rPr>
        <w:t>municipal</w:t>
      </w:r>
      <w:r w:rsidR="00C94DEF" w:rsidRPr="006E3A1B">
        <w:rPr>
          <w:rFonts w:ascii="Times New Roman" w:hAnsi="Times New Roman" w:cs="Times New Roman"/>
          <w:color w:val="0000FF"/>
        </w:rPr>
        <w:t xml:space="preserve"> </w:t>
      </w:r>
      <w:r w:rsidRPr="006E3A1B">
        <w:rPr>
          <w:rFonts w:ascii="Times New Roman" w:hAnsi="Times New Roman" w:cs="Times New Roman"/>
          <w:color w:val="0000FF"/>
        </w:rPr>
        <w:t>bond</w:t>
      </w:r>
      <w:r w:rsidR="00C94DEF" w:rsidRPr="006E3A1B">
        <w:rPr>
          <w:rFonts w:ascii="Times New Roman" w:hAnsi="Times New Roman" w:cs="Times New Roman"/>
          <w:color w:val="0000FF"/>
        </w:rPr>
        <w:t xml:space="preserve"> </w:t>
      </w:r>
      <w:r w:rsidRPr="006E3A1B">
        <w:rPr>
          <w:rFonts w:ascii="Times New Roman" w:hAnsi="Times New Roman" w:cs="Times New Roman"/>
          <w:color w:val="0000FF"/>
        </w:rPr>
        <w:t>rate</w:t>
      </w:r>
      <w:r w:rsidR="00C94DEF" w:rsidRPr="006E3A1B">
        <w:rPr>
          <w:rFonts w:ascii="Times New Roman" w:hAnsi="Times New Roman" w:cs="Times New Roman"/>
          <w:color w:val="0000FF"/>
        </w:rPr>
        <w:t xml:space="preserve"> </w:t>
      </w:r>
      <w:r w:rsidRPr="006E3A1B">
        <w:rPr>
          <w:rFonts w:ascii="Times New Roman" w:hAnsi="Times New Roman" w:cs="Times New Roman"/>
          <w:color w:val="0000FF"/>
        </w:rPr>
        <w:t>are</w:t>
      </w:r>
      <w:r w:rsidR="00C94DEF" w:rsidRPr="006E3A1B">
        <w:rPr>
          <w:rFonts w:ascii="Times New Roman" w:hAnsi="Times New Roman" w:cs="Times New Roman"/>
          <w:color w:val="0000FF"/>
        </w:rPr>
        <w:t xml:space="preserve"> </w:t>
      </w:r>
      <w:r w:rsidRPr="006E3A1B">
        <w:rPr>
          <w:rFonts w:ascii="Times New Roman" w:hAnsi="Times New Roman" w:cs="Times New Roman"/>
          <w:color w:val="0000FF"/>
        </w:rPr>
        <w:t>applied</w:t>
      </w:r>
      <w:r w:rsidR="00C94DEF" w:rsidRPr="006E3A1B">
        <w:rPr>
          <w:rFonts w:ascii="Times New Roman" w:hAnsi="Times New Roman" w:cs="Times New Roman"/>
          <w:color w:val="0000FF"/>
        </w:rPr>
        <w:t xml:space="preserve"> </w:t>
      </w:r>
      <w:r w:rsidRPr="006E3A1B">
        <w:rPr>
          <w:rFonts w:ascii="Times New Roman" w:hAnsi="Times New Roman" w:cs="Times New Roman"/>
          <w:color w:val="0000FF"/>
        </w:rPr>
        <w:t>in</w:t>
      </w:r>
      <w:r w:rsidR="00C94DEF" w:rsidRPr="006E3A1B">
        <w:rPr>
          <w:rFonts w:ascii="Times New Roman" w:hAnsi="Times New Roman" w:cs="Times New Roman"/>
          <w:color w:val="0000FF"/>
        </w:rPr>
        <w:t xml:space="preserve"> </w:t>
      </w:r>
      <w:r w:rsidRPr="006E3A1B">
        <w:rPr>
          <w:rFonts w:ascii="Times New Roman" w:hAnsi="Times New Roman" w:cs="Times New Roman"/>
          <w:color w:val="0000FF"/>
        </w:rPr>
        <w:t>determining the discount rate</w:t>
      </w:r>
    </w:p>
    <w:p w:rsidR="00C94DEF" w:rsidRPr="006E3A1B" w:rsidRDefault="002E2CD3" w:rsidP="006E3A1B">
      <w:pPr>
        <w:spacing w:after="0" w:line="240" w:lineRule="auto"/>
        <w:ind w:left="720"/>
        <w:jc w:val="both"/>
        <w:rPr>
          <w:rFonts w:ascii="Times New Roman" w:hAnsi="Times New Roman" w:cs="Times New Roman"/>
          <w:color w:val="0000FF"/>
        </w:rPr>
      </w:pPr>
      <w:r w:rsidRPr="006E3A1B">
        <w:rPr>
          <w:rFonts w:ascii="Times New Roman" w:hAnsi="Times New Roman" w:cs="Times New Roman"/>
          <w:b/>
          <w:color w:val="0000FF"/>
        </w:rPr>
        <w:t>f.</w:t>
      </w:r>
      <w:r w:rsidRPr="006E3A1B">
        <w:rPr>
          <w:rFonts w:ascii="Times New Roman" w:hAnsi="Times New Roman" w:cs="Times New Roman"/>
          <w:color w:val="0000FF"/>
        </w:rPr>
        <w:t xml:space="preserve"> The assumed asset allocation of the OPEB plan’s portfolio, the long-term expected real rate of return for each major asset class, and whether the expected rates of return are presented as arithmetic or geometric means, if not otherwise disclosed</w:t>
      </w:r>
    </w:p>
    <w:p w:rsidR="00B1313F" w:rsidRPr="006E3A1B" w:rsidRDefault="002E2CD3" w:rsidP="006E3A1B">
      <w:pPr>
        <w:spacing w:after="0" w:line="240" w:lineRule="auto"/>
        <w:ind w:left="720"/>
        <w:jc w:val="both"/>
        <w:rPr>
          <w:rFonts w:ascii="Times New Roman" w:hAnsi="Times New Roman" w:cs="Times New Roman"/>
          <w:color w:val="0000FF"/>
        </w:rPr>
      </w:pPr>
      <w:r w:rsidRPr="006E3A1B">
        <w:rPr>
          <w:rFonts w:ascii="Times New Roman" w:hAnsi="Times New Roman" w:cs="Times New Roman"/>
          <w:b/>
          <w:color w:val="0000FF"/>
        </w:rPr>
        <w:t>g.</w:t>
      </w:r>
      <w:r w:rsidRPr="006E3A1B">
        <w:rPr>
          <w:rFonts w:ascii="Times New Roman" w:hAnsi="Times New Roman" w:cs="Times New Roman"/>
          <w:color w:val="0000FF"/>
        </w:rPr>
        <w:t xml:space="preserve"> Measures of the net OPEB liability calculated using (1) a discount rate that is 1-percentage-point higher than </w:t>
      </w:r>
      <w:r w:rsidR="00B1313F" w:rsidRPr="006E3A1B">
        <w:rPr>
          <w:rFonts w:ascii="Times New Roman" w:hAnsi="Times New Roman" w:cs="Times New Roman"/>
          <w:color w:val="0000FF"/>
        </w:rPr>
        <w:t xml:space="preserve">current rate </w:t>
      </w:r>
      <w:r w:rsidRPr="006E3A1B">
        <w:rPr>
          <w:rFonts w:ascii="Times New Roman" w:hAnsi="Times New Roman" w:cs="Times New Roman"/>
          <w:color w:val="0000FF"/>
        </w:rPr>
        <w:t xml:space="preserve">and (2) a discount rate that is 1-percentage-point lower than </w:t>
      </w:r>
      <w:r w:rsidR="00B1313F" w:rsidRPr="006E3A1B">
        <w:rPr>
          <w:rFonts w:ascii="Times New Roman" w:hAnsi="Times New Roman" w:cs="Times New Roman"/>
          <w:color w:val="0000FF"/>
        </w:rPr>
        <w:t>the current rate</w:t>
      </w:r>
      <w:r w:rsidRPr="006E3A1B">
        <w:rPr>
          <w:rFonts w:ascii="Times New Roman" w:hAnsi="Times New Roman" w:cs="Times New Roman"/>
          <w:color w:val="0000FF"/>
        </w:rPr>
        <w:t>.</w:t>
      </w:r>
      <w:r w:rsidR="00B1313F" w:rsidRPr="006E3A1B">
        <w:rPr>
          <w:rFonts w:ascii="Times New Roman" w:hAnsi="Times New Roman" w:cs="Times New Roman"/>
          <w:i/>
          <w:color w:val="0000FF"/>
        </w:rPr>
        <w:t xml:space="preserve">  </w:t>
      </w:r>
      <w:r w:rsidR="00B1313F" w:rsidRPr="006E3A1B">
        <w:rPr>
          <w:rFonts w:ascii="Times New Roman" w:hAnsi="Times New Roman" w:cs="Times New Roman"/>
          <w:color w:val="0000FF"/>
        </w:rPr>
        <w:t>Note</w:t>
      </w:r>
      <w:r w:rsidR="006E3A1B" w:rsidRPr="006E3A1B">
        <w:rPr>
          <w:rFonts w:ascii="Times New Roman" w:hAnsi="Times New Roman" w:cs="Times New Roman"/>
          <w:color w:val="0000FF"/>
        </w:rPr>
        <w:t>:</w:t>
      </w:r>
      <w:r w:rsidR="00B1313F" w:rsidRPr="006E3A1B">
        <w:rPr>
          <w:rFonts w:ascii="Times New Roman" w:hAnsi="Times New Roman" w:cs="Times New Roman"/>
          <w:color w:val="0000FF"/>
        </w:rPr>
        <w:t xml:space="preserve"> </w:t>
      </w:r>
      <w:r w:rsidR="006E3A1B">
        <w:rPr>
          <w:rFonts w:ascii="Times New Roman" w:hAnsi="Times New Roman" w:cs="Times New Roman"/>
          <w:color w:val="0000FF"/>
        </w:rPr>
        <w:t>T</w:t>
      </w:r>
      <w:r w:rsidR="00B1313F" w:rsidRPr="006E3A1B">
        <w:rPr>
          <w:rFonts w:ascii="Times New Roman" w:hAnsi="Times New Roman" w:cs="Times New Roman"/>
          <w:color w:val="0000FF"/>
        </w:rPr>
        <w:t>his information should come from your actuarial valuation.</w:t>
      </w:r>
    </w:p>
    <w:p w:rsidR="00B1313F" w:rsidRPr="006E3A1B" w:rsidRDefault="00B1313F" w:rsidP="00C620DA">
      <w:pPr>
        <w:autoSpaceDE w:val="0"/>
        <w:autoSpaceDN w:val="0"/>
        <w:adjustRightInd w:val="0"/>
        <w:spacing w:after="0" w:line="240" w:lineRule="auto"/>
        <w:jc w:val="both"/>
        <w:rPr>
          <w:rFonts w:ascii="Times New Roman" w:hAnsi="Times New Roman" w:cs="Times New Roman"/>
          <w:color w:val="0000FF"/>
        </w:rPr>
      </w:pPr>
    </w:p>
    <w:p w:rsidR="00B1313F" w:rsidRPr="006E3A1B" w:rsidRDefault="00B1313F" w:rsidP="00C620DA">
      <w:pPr>
        <w:autoSpaceDE w:val="0"/>
        <w:autoSpaceDN w:val="0"/>
        <w:adjustRightInd w:val="0"/>
        <w:spacing w:after="0" w:line="240" w:lineRule="auto"/>
        <w:jc w:val="both"/>
        <w:rPr>
          <w:rFonts w:ascii="Times New Roman" w:hAnsi="Times New Roman" w:cs="Times New Roman"/>
          <w:i/>
        </w:rPr>
      </w:pPr>
      <w:r w:rsidRPr="006E3A1B">
        <w:rPr>
          <w:rFonts w:ascii="Times New Roman" w:hAnsi="Times New Roman" w:cs="Times New Roman"/>
          <w:i/>
        </w:rPr>
        <w:t xml:space="preserve">The following presents the net OPEB liability of the </w:t>
      </w:r>
      <w:r w:rsidR="006E3A1B" w:rsidRPr="00A45C06">
        <w:rPr>
          <w:rFonts w:ascii="Times New Roman" w:hAnsi="Times New Roman" w:cs="Times New Roman"/>
          <w:i/>
          <w:u w:val="single"/>
        </w:rPr>
        <w:t>(city/county/district)</w:t>
      </w:r>
      <w:r w:rsidRPr="006E3A1B">
        <w:rPr>
          <w:rFonts w:ascii="Times New Roman" w:hAnsi="Times New Roman" w:cs="Times New Roman"/>
          <w:i/>
        </w:rPr>
        <w:t xml:space="preserve"> calculated using the discount rate of 3.5 percent, as well as what the OPEB liability would be if it were calculated using a discount rate that is 1-percentage point lower (2.5</w:t>
      </w:r>
      <w:r w:rsidR="006E3A1B">
        <w:rPr>
          <w:rFonts w:ascii="Times New Roman" w:hAnsi="Times New Roman" w:cs="Times New Roman"/>
          <w:i/>
        </w:rPr>
        <w:t xml:space="preserve"> percent</w:t>
      </w:r>
      <w:r w:rsidRPr="006E3A1B">
        <w:rPr>
          <w:rFonts w:ascii="Times New Roman" w:hAnsi="Times New Roman" w:cs="Times New Roman"/>
          <w:i/>
        </w:rPr>
        <w:t>) or 1-percentage point higher (4.5</w:t>
      </w:r>
      <w:r w:rsidR="006E3A1B">
        <w:rPr>
          <w:rFonts w:ascii="Times New Roman" w:hAnsi="Times New Roman" w:cs="Times New Roman"/>
          <w:i/>
        </w:rPr>
        <w:t xml:space="preserve"> percent</w:t>
      </w:r>
      <w:r w:rsidRPr="006E3A1B">
        <w:rPr>
          <w:rFonts w:ascii="Times New Roman" w:hAnsi="Times New Roman" w:cs="Times New Roman"/>
          <w:i/>
        </w:rPr>
        <w:t>) that the current rate.</w:t>
      </w:r>
    </w:p>
    <w:p w:rsidR="00B1313F" w:rsidRPr="006E3A1B" w:rsidRDefault="00B1313F" w:rsidP="00C620DA">
      <w:pPr>
        <w:autoSpaceDE w:val="0"/>
        <w:autoSpaceDN w:val="0"/>
        <w:adjustRightInd w:val="0"/>
        <w:spacing w:after="0" w:line="240" w:lineRule="auto"/>
        <w:jc w:val="both"/>
        <w:rPr>
          <w:rFonts w:ascii="Times New Roman" w:hAnsi="Times New Roman" w:cs="Times New Roman"/>
          <w:i/>
        </w:rPr>
      </w:pPr>
    </w:p>
    <w:tbl>
      <w:tblPr>
        <w:tblStyle w:val="TableGrid"/>
        <w:tblW w:w="0" w:type="auto"/>
        <w:tblInd w:w="1008" w:type="dxa"/>
        <w:tblLook w:val="04A0" w:firstRow="1" w:lastRow="0" w:firstColumn="1" w:lastColumn="0" w:noHBand="0" w:noVBand="1"/>
      </w:tblPr>
      <w:tblGrid>
        <w:gridCol w:w="2070"/>
        <w:gridCol w:w="1710"/>
        <w:gridCol w:w="1890"/>
        <w:gridCol w:w="1440"/>
      </w:tblGrid>
      <w:tr w:rsidR="006E3A1B" w:rsidRPr="006E3A1B" w:rsidTr="00FC5CC0">
        <w:tc>
          <w:tcPr>
            <w:tcW w:w="2070" w:type="dxa"/>
          </w:tcPr>
          <w:p w:rsidR="00B1313F" w:rsidRPr="006E3A1B" w:rsidRDefault="00B1313F" w:rsidP="00C620DA">
            <w:pPr>
              <w:autoSpaceDE w:val="0"/>
              <w:autoSpaceDN w:val="0"/>
              <w:adjustRightInd w:val="0"/>
              <w:jc w:val="both"/>
              <w:rPr>
                <w:rFonts w:ascii="Times New Roman" w:hAnsi="Times New Roman" w:cs="Times New Roman"/>
                <w:i/>
              </w:rPr>
            </w:pPr>
          </w:p>
        </w:tc>
        <w:tc>
          <w:tcPr>
            <w:tcW w:w="1710" w:type="dxa"/>
          </w:tcPr>
          <w:p w:rsidR="00B1313F" w:rsidRPr="006E3A1B" w:rsidRDefault="00B1313F" w:rsidP="006E3A1B">
            <w:pPr>
              <w:autoSpaceDE w:val="0"/>
              <w:autoSpaceDN w:val="0"/>
              <w:adjustRightInd w:val="0"/>
              <w:jc w:val="center"/>
              <w:rPr>
                <w:rFonts w:ascii="Times New Roman" w:hAnsi="Times New Roman" w:cs="Times New Roman"/>
                <w:i/>
              </w:rPr>
            </w:pPr>
            <w:r w:rsidRPr="006E3A1B">
              <w:rPr>
                <w:rFonts w:ascii="Times New Roman" w:hAnsi="Times New Roman" w:cs="Times New Roman"/>
                <w:i/>
              </w:rPr>
              <w:t>1% Decrease</w:t>
            </w:r>
          </w:p>
          <w:p w:rsidR="00B1313F" w:rsidRPr="006E3A1B" w:rsidRDefault="00B1313F" w:rsidP="006E3A1B">
            <w:pPr>
              <w:autoSpaceDE w:val="0"/>
              <w:autoSpaceDN w:val="0"/>
              <w:adjustRightInd w:val="0"/>
              <w:jc w:val="center"/>
              <w:rPr>
                <w:rFonts w:ascii="Times New Roman" w:hAnsi="Times New Roman" w:cs="Times New Roman"/>
                <w:i/>
              </w:rPr>
            </w:pPr>
            <w:r w:rsidRPr="006E3A1B">
              <w:rPr>
                <w:rFonts w:ascii="Times New Roman" w:hAnsi="Times New Roman" w:cs="Times New Roman"/>
                <w:i/>
              </w:rPr>
              <w:t>(2.5%)</w:t>
            </w:r>
          </w:p>
        </w:tc>
        <w:tc>
          <w:tcPr>
            <w:tcW w:w="1890" w:type="dxa"/>
          </w:tcPr>
          <w:p w:rsidR="00B1313F" w:rsidRPr="006E3A1B" w:rsidRDefault="00B1313F" w:rsidP="006E3A1B">
            <w:pPr>
              <w:autoSpaceDE w:val="0"/>
              <w:autoSpaceDN w:val="0"/>
              <w:adjustRightInd w:val="0"/>
              <w:jc w:val="center"/>
              <w:rPr>
                <w:rFonts w:ascii="Times New Roman" w:hAnsi="Times New Roman" w:cs="Times New Roman"/>
                <w:i/>
              </w:rPr>
            </w:pPr>
            <w:r w:rsidRPr="006E3A1B">
              <w:rPr>
                <w:rFonts w:ascii="Times New Roman" w:hAnsi="Times New Roman" w:cs="Times New Roman"/>
                <w:i/>
              </w:rPr>
              <w:t>Current Discount Rate</w:t>
            </w:r>
          </w:p>
          <w:p w:rsidR="00B1313F" w:rsidRPr="006E3A1B" w:rsidRDefault="00B1313F" w:rsidP="006E3A1B">
            <w:pPr>
              <w:autoSpaceDE w:val="0"/>
              <w:autoSpaceDN w:val="0"/>
              <w:adjustRightInd w:val="0"/>
              <w:jc w:val="center"/>
              <w:rPr>
                <w:rFonts w:ascii="Times New Roman" w:hAnsi="Times New Roman" w:cs="Times New Roman"/>
                <w:i/>
              </w:rPr>
            </w:pPr>
            <w:r w:rsidRPr="006E3A1B">
              <w:rPr>
                <w:rFonts w:ascii="Times New Roman" w:hAnsi="Times New Roman" w:cs="Times New Roman"/>
                <w:i/>
              </w:rPr>
              <w:t>(3.5%)</w:t>
            </w:r>
          </w:p>
        </w:tc>
        <w:tc>
          <w:tcPr>
            <w:tcW w:w="1440" w:type="dxa"/>
          </w:tcPr>
          <w:p w:rsidR="00B1313F" w:rsidRPr="006E3A1B" w:rsidRDefault="00B1313F" w:rsidP="006E3A1B">
            <w:pPr>
              <w:autoSpaceDE w:val="0"/>
              <w:autoSpaceDN w:val="0"/>
              <w:adjustRightInd w:val="0"/>
              <w:jc w:val="center"/>
              <w:rPr>
                <w:rFonts w:ascii="Times New Roman" w:hAnsi="Times New Roman" w:cs="Times New Roman"/>
                <w:i/>
              </w:rPr>
            </w:pPr>
            <w:r w:rsidRPr="006E3A1B">
              <w:rPr>
                <w:rFonts w:ascii="Times New Roman" w:hAnsi="Times New Roman" w:cs="Times New Roman"/>
                <w:i/>
              </w:rPr>
              <w:t>1% Increase</w:t>
            </w:r>
          </w:p>
          <w:p w:rsidR="00B1313F" w:rsidRPr="006E3A1B" w:rsidRDefault="00B1313F" w:rsidP="006E3A1B">
            <w:pPr>
              <w:autoSpaceDE w:val="0"/>
              <w:autoSpaceDN w:val="0"/>
              <w:adjustRightInd w:val="0"/>
              <w:jc w:val="center"/>
              <w:rPr>
                <w:rFonts w:ascii="Times New Roman" w:hAnsi="Times New Roman" w:cs="Times New Roman"/>
                <w:i/>
              </w:rPr>
            </w:pPr>
            <w:r w:rsidRPr="006E3A1B">
              <w:rPr>
                <w:rFonts w:ascii="Times New Roman" w:hAnsi="Times New Roman" w:cs="Times New Roman"/>
                <w:i/>
              </w:rPr>
              <w:t>(4.5%)</w:t>
            </w:r>
          </w:p>
        </w:tc>
      </w:tr>
      <w:tr w:rsidR="00B1313F" w:rsidRPr="006E3A1B" w:rsidTr="00FC5CC0">
        <w:tc>
          <w:tcPr>
            <w:tcW w:w="2070" w:type="dxa"/>
          </w:tcPr>
          <w:p w:rsidR="00B1313F" w:rsidRPr="006E3A1B" w:rsidRDefault="00B82605" w:rsidP="00C620DA">
            <w:pPr>
              <w:autoSpaceDE w:val="0"/>
              <w:autoSpaceDN w:val="0"/>
              <w:adjustRightInd w:val="0"/>
              <w:jc w:val="both"/>
              <w:rPr>
                <w:rFonts w:ascii="Times New Roman" w:hAnsi="Times New Roman" w:cs="Times New Roman"/>
                <w:i/>
              </w:rPr>
            </w:pPr>
            <w:r w:rsidRPr="006E3A1B">
              <w:rPr>
                <w:rFonts w:ascii="Times New Roman" w:hAnsi="Times New Roman" w:cs="Times New Roman"/>
                <w:i/>
              </w:rPr>
              <w:t>Net</w:t>
            </w:r>
            <w:r w:rsidR="00B1313F" w:rsidRPr="006E3A1B">
              <w:rPr>
                <w:rFonts w:ascii="Times New Roman" w:hAnsi="Times New Roman" w:cs="Times New Roman"/>
                <w:i/>
              </w:rPr>
              <w:t xml:space="preserve"> OPEB Liability</w:t>
            </w:r>
          </w:p>
        </w:tc>
        <w:tc>
          <w:tcPr>
            <w:tcW w:w="1710" w:type="dxa"/>
          </w:tcPr>
          <w:p w:rsidR="00B1313F" w:rsidRPr="006E3A1B" w:rsidRDefault="00B1313F" w:rsidP="00C620DA">
            <w:pPr>
              <w:autoSpaceDE w:val="0"/>
              <w:autoSpaceDN w:val="0"/>
              <w:adjustRightInd w:val="0"/>
              <w:jc w:val="both"/>
              <w:rPr>
                <w:rFonts w:ascii="Times New Roman" w:hAnsi="Times New Roman" w:cs="Times New Roman"/>
                <w:i/>
              </w:rPr>
            </w:pPr>
            <w:r w:rsidRPr="006E3A1B">
              <w:rPr>
                <w:rFonts w:ascii="Times New Roman" w:hAnsi="Times New Roman" w:cs="Times New Roman"/>
                <w:i/>
              </w:rPr>
              <w:t>$6,000,000</w:t>
            </w:r>
          </w:p>
        </w:tc>
        <w:tc>
          <w:tcPr>
            <w:tcW w:w="1890" w:type="dxa"/>
          </w:tcPr>
          <w:p w:rsidR="00B1313F" w:rsidRPr="006E3A1B" w:rsidRDefault="00B1313F" w:rsidP="00C620DA">
            <w:pPr>
              <w:autoSpaceDE w:val="0"/>
              <w:autoSpaceDN w:val="0"/>
              <w:adjustRightInd w:val="0"/>
              <w:jc w:val="both"/>
              <w:rPr>
                <w:rFonts w:ascii="Times New Roman" w:hAnsi="Times New Roman" w:cs="Times New Roman"/>
                <w:i/>
              </w:rPr>
            </w:pPr>
            <w:r w:rsidRPr="006E3A1B">
              <w:rPr>
                <w:rFonts w:ascii="Times New Roman" w:hAnsi="Times New Roman" w:cs="Times New Roman"/>
                <w:i/>
              </w:rPr>
              <w:t>$3,000,000</w:t>
            </w:r>
          </w:p>
        </w:tc>
        <w:tc>
          <w:tcPr>
            <w:tcW w:w="1440" w:type="dxa"/>
          </w:tcPr>
          <w:p w:rsidR="00B1313F" w:rsidRPr="006E3A1B" w:rsidRDefault="00B1313F" w:rsidP="00C620DA">
            <w:pPr>
              <w:autoSpaceDE w:val="0"/>
              <w:autoSpaceDN w:val="0"/>
              <w:adjustRightInd w:val="0"/>
              <w:jc w:val="both"/>
              <w:rPr>
                <w:rFonts w:ascii="Times New Roman" w:hAnsi="Times New Roman" w:cs="Times New Roman"/>
                <w:i/>
              </w:rPr>
            </w:pPr>
            <w:r w:rsidRPr="006E3A1B">
              <w:rPr>
                <w:rFonts w:ascii="Times New Roman" w:hAnsi="Times New Roman" w:cs="Times New Roman"/>
                <w:i/>
              </w:rPr>
              <w:t>$2,000,000</w:t>
            </w:r>
          </w:p>
        </w:tc>
      </w:tr>
    </w:tbl>
    <w:p w:rsidR="00B1313F" w:rsidRPr="006E3A1B" w:rsidRDefault="00B1313F" w:rsidP="00C620DA">
      <w:pPr>
        <w:autoSpaceDE w:val="0"/>
        <w:autoSpaceDN w:val="0"/>
        <w:adjustRightInd w:val="0"/>
        <w:spacing w:after="0" w:line="240" w:lineRule="auto"/>
        <w:jc w:val="both"/>
        <w:rPr>
          <w:rFonts w:ascii="Times New Roman" w:hAnsi="Times New Roman" w:cs="Times New Roman"/>
          <w:i/>
        </w:rPr>
      </w:pPr>
    </w:p>
    <w:p w:rsidR="002E2CD3" w:rsidRPr="006E3A1B" w:rsidRDefault="002E2CD3" w:rsidP="00C620DA">
      <w:pPr>
        <w:spacing w:after="0" w:line="240" w:lineRule="auto"/>
        <w:jc w:val="both"/>
        <w:rPr>
          <w:rFonts w:ascii="Times New Roman" w:hAnsi="Times New Roman" w:cs="Times New Roman"/>
          <w:i/>
        </w:rPr>
      </w:pPr>
    </w:p>
    <w:p w:rsidR="002E2CD3" w:rsidRDefault="002E2CD3" w:rsidP="00C620DA">
      <w:pPr>
        <w:spacing w:after="0" w:line="240" w:lineRule="auto"/>
        <w:jc w:val="both"/>
        <w:rPr>
          <w:rFonts w:ascii="Times New Roman" w:hAnsi="Times New Roman" w:cs="Times New Roman"/>
          <w:b/>
        </w:rPr>
      </w:pPr>
      <w:r w:rsidRPr="00C620DA">
        <w:rPr>
          <w:rFonts w:ascii="Times New Roman" w:hAnsi="Times New Roman" w:cs="Times New Roman"/>
          <w:b/>
        </w:rPr>
        <w:t>Changes in the Net OPEB Liability</w:t>
      </w:r>
    </w:p>
    <w:p w:rsidR="006E3A1B" w:rsidRPr="00C620DA" w:rsidRDefault="006E3A1B" w:rsidP="00C620DA">
      <w:pPr>
        <w:spacing w:after="0" w:line="240" w:lineRule="auto"/>
        <w:jc w:val="both"/>
        <w:rPr>
          <w:rFonts w:ascii="Times New Roman" w:hAnsi="Times New Roman" w:cs="Times New Roman"/>
          <w:b/>
        </w:rPr>
      </w:pPr>
    </w:p>
    <w:p w:rsidR="00932CA1" w:rsidRDefault="002E2CD3" w:rsidP="00C620DA">
      <w:pPr>
        <w:spacing w:after="0" w:line="240" w:lineRule="auto"/>
        <w:jc w:val="both"/>
        <w:rPr>
          <w:rFonts w:ascii="Times New Roman" w:hAnsi="Times New Roman" w:cs="Times New Roman"/>
          <w:color w:val="0000FF"/>
        </w:rPr>
      </w:pPr>
      <w:r w:rsidRPr="006E3A1B">
        <w:rPr>
          <w:rFonts w:ascii="Times New Roman" w:hAnsi="Times New Roman" w:cs="Times New Roman"/>
          <w:color w:val="0000FF"/>
        </w:rPr>
        <w:t>For the current reporting period, a schedule of changes in the net OPEB liability should be presented.</w:t>
      </w:r>
      <w:r w:rsidR="006E3A1B">
        <w:rPr>
          <w:rFonts w:ascii="Times New Roman" w:hAnsi="Times New Roman" w:cs="Times New Roman"/>
          <w:color w:val="0000FF"/>
        </w:rPr>
        <w:t xml:space="preserve">  N</w:t>
      </w:r>
      <w:r w:rsidR="006E3A1B" w:rsidRPr="006E3A1B">
        <w:rPr>
          <w:rFonts w:ascii="Times New Roman" w:hAnsi="Times New Roman" w:cs="Times New Roman"/>
          <w:color w:val="0000FF"/>
        </w:rPr>
        <w:t xml:space="preserve">ote: </w:t>
      </w:r>
      <w:r w:rsidR="00932CA1" w:rsidRPr="006E3A1B">
        <w:rPr>
          <w:rFonts w:ascii="Times New Roman" w:hAnsi="Times New Roman" w:cs="Times New Roman"/>
          <w:color w:val="0000FF"/>
        </w:rPr>
        <w:t>This information should come from your actuarial valuation.</w:t>
      </w:r>
    </w:p>
    <w:p w:rsidR="006E3A1B" w:rsidRPr="006E3A1B" w:rsidRDefault="006E3A1B" w:rsidP="00C620DA">
      <w:pPr>
        <w:spacing w:after="0" w:line="240" w:lineRule="auto"/>
        <w:jc w:val="both"/>
        <w:rPr>
          <w:rFonts w:ascii="Times New Roman" w:hAnsi="Times New Roman" w:cs="Times New Roman"/>
          <w:color w:val="0000FF"/>
        </w:rPr>
      </w:pPr>
    </w:p>
    <w:p w:rsidR="00932CA1" w:rsidRPr="006E3A1B" w:rsidRDefault="00932CA1" w:rsidP="00C620DA">
      <w:pPr>
        <w:spacing w:after="0" w:line="240" w:lineRule="auto"/>
        <w:jc w:val="both"/>
        <w:rPr>
          <w:rFonts w:ascii="Times New Roman" w:hAnsi="Times New Roman" w:cs="Times New Roman"/>
          <w:color w:val="0000FF"/>
        </w:rPr>
      </w:pPr>
      <w:r w:rsidRPr="006E3A1B">
        <w:rPr>
          <w:rFonts w:ascii="Times New Roman" w:hAnsi="Times New Roman" w:cs="Times New Roman"/>
          <w:color w:val="0000FF"/>
        </w:rPr>
        <w:t>*If the alternative measurement method was used, you may combine the amounts for differences between expected and actual experience and changes of assumptions.</w:t>
      </w:r>
    </w:p>
    <w:p w:rsidR="000B31EC" w:rsidRPr="006E3A1B" w:rsidRDefault="000B31EC" w:rsidP="00C620DA">
      <w:pPr>
        <w:spacing w:after="0" w:line="240" w:lineRule="auto"/>
        <w:jc w:val="both"/>
        <w:rPr>
          <w:rFonts w:ascii="Times New Roman" w:hAnsi="Times New Roman" w:cs="Times New Roman"/>
          <w:i/>
          <w:color w:val="0000FF"/>
        </w:rPr>
      </w:pPr>
    </w:p>
    <w:tbl>
      <w:tblPr>
        <w:tblStyle w:val="TableGrid"/>
        <w:tblW w:w="0" w:type="auto"/>
        <w:tblLook w:val="0480" w:firstRow="0" w:lastRow="0" w:firstColumn="1" w:lastColumn="0" w:noHBand="0" w:noVBand="1"/>
      </w:tblPr>
      <w:tblGrid>
        <w:gridCol w:w="4405"/>
        <w:gridCol w:w="1710"/>
        <w:gridCol w:w="1710"/>
        <w:gridCol w:w="1525"/>
      </w:tblGrid>
      <w:tr w:rsidR="00B82605" w:rsidRPr="00C620DA" w:rsidTr="00752A42">
        <w:tc>
          <w:tcPr>
            <w:tcW w:w="4405" w:type="dxa"/>
          </w:tcPr>
          <w:p w:rsidR="006E3A1B" w:rsidRDefault="006E3A1B" w:rsidP="006E3A1B">
            <w:pPr>
              <w:jc w:val="center"/>
              <w:rPr>
                <w:rFonts w:ascii="Times New Roman" w:hAnsi="Times New Roman" w:cs="Times New Roman"/>
                <w:i/>
              </w:rPr>
            </w:pPr>
          </w:p>
          <w:p w:rsidR="00752A42" w:rsidRPr="006E3A1B" w:rsidRDefault="00752A42" w:rsidP="006E3A1B">
            <w:pPr>
              <w:jc w:val="center"/>
              <w:rPr>
                <w:rFonts w:ascii="Times New Roman" w:hAnsi="Times New Roman" w:cs="Times New Roman"/>
                <w:i/>
              </w:rPr>
            </w:pPr>
            <w:r w:rsidRPr="006E3A1B">
              <w:rPr>
                <w:rFonts w:ascii="Times New Roman" w:hAnsi="Times New Roman" w:cs="Times New Roman"/>
                <w:i/>
              </w:rPr>
              <w:t>Plan Name</w:t>
            </w:r>
          </w:p>
        </w:tc>
        <w:tc>
          <w:tcPr>
            <w:tcW w:w="1710" w:type="dxa"/>
          </w:tcPr>
          <w:p w:rsidR="00752A42" w:rsidRPr="006E3A1B" w:rsidRDefault="00752A42" w:rsidP="006E3A1B">
            <w:pPr>
              <w:jc w:val="center"/>
              <w:rPr>
                <w:rFonts w:ascii="Times New Roman" w:hAnsi="Times New Roman" w:cs="Times New Roman"/>
                <w:i/>
              </w:rPr>
            </w:pPr>
            <w:r w:rsidRPr="006E3A1B">
              <w:rPr>
                <w:rFonts w:ascii="Times New Roman" w:hAnsi="Times New Roman" w:cs="Times New Roman"/>
                <w:i/>
              </w:rPr>
              <w:t>Total OPEB Liability</w:t>
            </w:r>
          </w:p>
          <w:p w:rsidR="00932CA1" w:rsidRPr="006E3A1B" w:rsidRDefault="00932CA1" w:rsidP="006E3A1B">
            <w:pPr>
              <w:jc w:val="center"/>
              <w:rPr>
                <w:rFonts w:ascii="Times New Roman" w:hAnsi="Times New Roman" w:cs="Times New Roman"/>
                <w:i/>
              </w:rPr>
            </w:pPr>
            <w:r w:rsidRPr="006E3A1B">
              <w:rPr>
                <w:rFonts w:ascii="Times New Roman" w:hAnsi="Times New Roman" w:cs="Times New Roman"/>
                <w:i/>
              </w:rPr>
              <w:t>(a)</w:t>
            </w:r>
          </w:p>
        </w:tc>
        <w:tc>
          <w:tcPr>
            <w:tcW w:w="1710" w:type="dxa"/>
          </w:tcPr>
          <w:p w:rsidR="00752A42" w:rsidRPr="006E3A1B" w:rsidRDefault="00752A42" w:rsidP="006E3A1B">
            <w:pPr>
              <w:jc w:val="center"/>
              <w:rPr>
                <w:rFonts w:ascii="Times New Roman" w:hAnsi="Times New Roman" w:cs="Times New Roman"/>
                <w:i/>
              </w:rPr>
            </w:pPr>
            <w:r w:rsidRPr="006E3A1B">
              <w:rPr>
                <w:rFonts w:ascii="Times New Roman" w:hAnsi="Times New Roman" w:cs="Times New Roman"/>
                <w:i/>
              </w:rPr>
              <w:t>Plan Fiduciary Net Position</w:t>
            </w:r>
          </w:p>
          <w:p w:rsidR="00932CA1" w:rsidRPr="006E3A1B" w:rsidRDefault="00932CA1" w:rsidP="006E3A1B">
            <w:pPr>
              <w:jc w:val="center"/>
              <w:rPr>
                <w:rFonts w:ascii="Times New Roman" w:hAnsi="Times New Roman" w:cs="Times New Roman"/>
                <w:i/>
              </w:rPr>
            </w:pPr>
            <w:r w:rsidRPr="006E3A1B">
              <w:rPr>
                <w:rFonts w:ascii="Times New Roman" w:hAnsi="Times New Roman" w:cs="Times New Roman"/>
                <w:i/>
              </w:rPr>
              <w:t>(b)</w:t>
            </w:r>
          </w:p>
        </w:tc>
        <w:tc>
          <w:tcPr>
            <w:tcW w:w="1525" w:type="dxa"/>
          </w:tcPr>
          <w:p w:rsidR="00752A42" w:rsidRPr="006E3A1B" w:rsidRDefault="00752A42" w:rsidP="006E3A1B">
            <w:pPr>
              <w:jc w:val="center"/>
              <w:rPr>
                <w:rFonts w:ascii="Times New Roman" w:hAnsi="Times New Roman" w:cs="Times New Roman"/>
                <w:i/>
              </w:rPr>
            </w:pPr>
            <w:r w:rsidRPr="006E3A1B">
              <w:rPr>
                <w:rFonts w:ascii="Times New Roman" w:hAnsi="Times New Roman" w:cs="Times New Roman"/>
                <w:i/>
              </w:rPr>
              <w:t>Net OPEB Liability</w:t>
            </w:r>
          </w:p>
          <w:p w:rsidR="00932CA1" w:rsidRPr="006E3A1B" w:rsidRDefault="00932CA1" w:rsidP="006E3A1B">
            <w:pPr>
              <w:ind w:left="360"/>
              <w:jc w:val="center"/>
              <w:rPr>
                <w:rFonts w:ascii="Times New Roman" w:hAnsi="Times New Roman" w:cs="Times New Roman"/>
                <w:i/>
              </w:rPr>
            </w:pPr>
            <w:r w:rsidRPr="006E3A1B">
              <w:rPr>
                <w:rFonts w:ascii="Times New Roman" w:hAnsi="Times New Roman" w:cs="Times New Roman"/>
                <w:i/>
              </w:rPr>
              <w:t>(a)–(b)</w:t>
            </w:r>
          </w:p>
        </w:tc>
      </w:tr>
      <w:tr w:rsidR="00B82605" w:rsidRPr="00C620DA" w:rsidTr="00752A42">
        <w:tc>
          <w:tcPr>
            <w:tcW w:w="4405" w:type="dxa"/>
          </w:tcPr>
          <w:p w:rsidR="00752A42" w:rsidRPr="006E3A1B" w:rsidRDefault="00752A42" w:rsidP="006E3A1B">
            <w:pPr>
              <w:jc w:val="both"/>
              <w:rPr>
                <w:rFonts w:ascii="Times New Roman" w:hAnsi="Times New Roman" w:cs="Times New Roman"/>
                <w:i/>
              </w:rPr>
            </w:pPr>
            <w:r w:rsidRPr="006E3A1B">
              <w:rPr>
                <w:rFonts w:ascii="Times New Roman" w:hAnsi="Times New Roman" w:cs="Times New Roman"/>
                <w:i/>
              </w:rPr>
              <w:t>Balances at 1/1/20</w:t>
            </w:r>
            <w:r w:rsidR="006E3A1B">
              <w:rPr>
                <w:rFonts w:ascii="Times New Roman" w:hAnsi="Times New Roman" w:cs="Times New Roman"/>
                <w:i/>
              </w:rPr>
              <w:t>__</w:t>
            </w:r>
          </w:p>
        </w:tc>
        <w:tc>
          <w:tcPr>
            <w:tcW w:w="1710" w:type="dxa"/>
          </w:tcPr>
          <w:p w:rsidR="00752A42" w:rsidRPr="006E3A1B" w:rsidRDefault="00932CA1" w:rsidP="00C620DA">
            <w:pPr>
              <w:jc w:val="both"/>
              <w:rPr>
                <w:rFonts w:ascii="Times New Roman" w:hAnsi="Times New Roman" w:cs="Times New Roman"/>
                <w:i/>
              </w:rPr>
            </w:pPr>
            <w:r w:rsidRPr="006E3A1B">
              <w:rPr>
                <w:rFonts w:ascii="Times New Roman" w:hAnsi="Times New Roman" w:cs="Times New Roman"/>
                <w:i/>
              </w:rPr>
              <w:t>$</w:t>
            </w:r>
          </w:p>
        </w:tc>
        <w:tc>
          <w:tcPr>
            <w:tcW w:w="1710" w:type="dxa"/>
          </w:tcPr>
          <w:p w:rsidR="00752A42" w:rsidRPr="006E3A1B" w:rsidRDefault="00932CA1" w:rsidP="00C620DA">
            <w:pPr>
              <w:jc w:val="both"/>
              <w:rPr>
                <w:rFonts w:ascii="Times New Roman" w:hAnsi="Times New Roman" w:cs="Times New Roman"/>
                <w:i/>
              </w:rPr>
            </w:pPr>
            <w:r w:rsidRPr="006E3A1B">
              <w:rPr>
                <w:rFonts w:ascii="Times New Roman" w:hAnsi="Times New Roman" w:cs="Times New Roman"/>
                <w:i/>
              </w:rPr>
              <w:t>$</w:t>
            </w:r>
          </w:p>
        </w:tc>
        <w:tc>
          <w:tcPr>
            <w:tcW w:w="1525" w:type="dxa"/>
          </w:tcPr>
          <w:p w:rsidR="00752A42" w:rsidRPr="006E3A1B" w:rsidRDefault="00932CA1" w:rsidP="00C620DA">
            <w:pPr>
              <w:jc w:val="both"/>
              <w:rPr>
                <w:rFonts w:ascii="Times New Roman" w:hAnsi="Times New Roman" w:cs="Times New Roman"/>
                <w:i/>
              </w:rPr>
            </w:pPr>
            <w:r w:rsidRPr="006E3A1B">
              <w:rPr>
                <w:rFonts w:ascii="Times New Roman" w:hAnsi="Times New Roman" w:cs="Times New Roman"/>
                <w:i/>
              </w:rPr>
              <w:t>$</w:t>
            </w:r>
          </w:p>
        </w:tc>
      </w:tr>
      <w:tr w:rsidR="00B82605" w:rsidRPr="00C620DA" w:rsidTr="00752A42">
        <w:tc>
          <w:tcPr>
            <w:tcW w:w="4405" w:type="dxa"/>
          </w:tcPr>
          <w:p w:rsidR="00752A42" w:rsidRPr="006E3A1B" w:rsidRDefault="00752A42" w:rsidP="00C620DA">
            <w:pPr>
              <w:jc w:val="both"/>
              <w:rPr>
                <w:rFonts w:ascii="Times New Roman" w:hAnsi="Times New Roman" w:cs="Times New Roman"/>
                <w:i/>
              </w:rPr>
            </w:pPr>
            <w:r w:rsidRPr="006E3A1B">
              <w:rPr>
                <w:rFonts w:ascii="Times New Roman" w:hAnsi="Times New Roman" w:cs="Times New Roman"/>
                <w:i/>
              </w:rPr>
              <w:t>Changes for the year:</w:t>
            </w:r>
          </w:p>
        </w:tc>
        <w:tc>
          <w:tcPr>
            <w:tcW w:w="1710" w:type="dxa"/>
          </w:tcPr>
          <w:p w:rsidR="00752A42" w:rsidRPr="006E3A1B" w:rsidRDefault="00752A42" w:rsidP="00C620DA">
            <w:pPr>
              <w:jc w:val="both"/>
              <w:rPr>
                <w:rFonts w:ascii="Times New Roman" w:hAnsi="Times New Roman" w:cs="Times New Roman"/>
                <w:i/>
              </w:rPr>
            </w:pPr>
          </w:p>
        </w:tc>
        <w:tc>
          <w:tcPr>
            <w:tcW w:w="1710" w:type="dxa"/>
          </w:tcPr>
          <w:p w:rsidR="00752A42" w:rsidRPr="006E3A1B" w:rsidRDefault="00752A42" w:rsidP="00C620DA">
            <w:pPr>
              <w:jc w:val="both"/>
              <w:rPr>
                <w:rFonts w:ascii="Times New Roman" w:hAnsi="Times New Roman" w:cs="Times New Roman"/>
                <w:i/>
              </w:rPr>
            </w:pPr>
          </w:p>
        </w:tc>
        <w:tc>
          <w:tcPr>
            <w:tcW w:w="1525" w:type="dxa"/>
          </w:tcPr>
          <w:p w:rsidR="00752A42" w:rsidRPr="006E3A1B" w:rsidRDefault="00752A42" w:rsidP="00C620DA">
            <w:pPr>
              <w:jc w:val="both"/>
              <w:rPr>
                <w:rFonts w:ascii="Times New Roman" w:hAnsi="Times New Roman" w:cs="Times New Roman"/>
                <w:i/>
              </w:rPr>
            </w:pPr>
          </w:p>
        </w:tc>
      </w:tr>
      <w:tr w:rsidR="00B82605" w:rsidRPr="00C620DA" w:rsidTr="00752A42">
        <w:tc>
          <w:tcPr>
            <w:tcW w:w="4405" w:type="dxa"/>
          </w:tcPr>
          <w:p w:rsidR="00752A42" w:rsidRPr="006E3A1B" w:rsidRDefault="00752A42" w:rsidP="00C620DA">
            <w:pPr>
              <w:jc w:val="both"/>
              <w:rPr>
                <w:rFonts w:ascii="Times New Roman" w:hAnsi="Times New Roman" w:cs="Times New Roman"/>
                <w:i/>
              </w:rPr>
            </w:pPr>
            <w:r w:rsidRPr="006E3A1B">
              <w:rPr>
                <w:rFonts w:ascii="Times New Roman" w:hAnsi="Times New Roman" w:cs="Times New Roman"/>
                <w:i/>
              </w:rPr>
              <w:t xml:space="preserve">   Service cost</w:t>
            </w:r>
          </w:p>
        </w:tc>
        <w:tc>
          <w:tcPr>
            <w:tcW w:w="1710" w:type="dxa"/>
          </w:tcPr>
          <w:p w:rsidR="00752A42" w:rsidRPr="006E3A1B" w:rsidRDefault="00752A42" w:rsidP="00C620DA">
            <w:pPr>
              <w:jc w:val="both"/>
              <w:rPr>
                <w:rFonts w:ascii="Times New Roman" w:hAnsi="Times New Roman" w:cs="Times New Roman"/>
                <w:i/>
              </w:rPr>
            </w:pPr>
          </w:p>
        </w:tc>
        <w:tc>
          <w:tcPr>
            <w:tcW w:w="1710" w:type="dxa"/>
          </w:tcPr>
          <w:p w:rsidR="00752A42" w:rsidRPr="006E3A1B" w:rsidRDefault="00752A42" w:rsidP="00C620DA">
            <w:pPr>
              <w:jc w:val="both"/>
              <w:rPr>
                <w:rFonts w:ascii="Times New Roman" w:hAnsi="Times New Roman" w:cs="Times New Roman"/>
                <w:i/>
              </w:rPr>
            </w:pPr>
          </w:p>
        </w:tc>
        <w:tc>
          <w:tcPr>
            <w:tcW w:w="1525" w:type="dxa"/>
          </w:tcPr>
          <w:p w:rsidR="00752A42" w:rsidRPr="006E3A1B" w:rsidRDefault="00752A42" w:rsidP="00C620DA">
            <w:pPr>
              <w:jc w:val="both"/>
              <w:rPr>
                <w:rFonts w:ascii="Times New Roman" w:hAnsi="Times New Roman" w:cs="Times New Roman"/>
                <w:i/>
              </w:rPr>
            </w:pPr>
          </w:p>
        </w:tc>
      </w:tr>
      <w:tr w:rsidR="00B82605" w:rsidRPr="00C620DA" w:rsidTr="00752A42">
        <w:tc>
          <w:tcPr>
            <w:tcW w:w="4405" w:type="dxa"/>
          </w:tcPr>
          <w:p w:rsidR="00752A42" w:rsidRPr="006E3A1B" w:rsidRDefault="00752A42" w:rsidP="00C620DA">
            <w:pPr>
              <w:jc w:val="both"/>
              <w:rPr>
                <w:rFonts w:ascii="Times New Roman" w:hAnsi="Times New Roman" w:cs="Times New Roman"/>
                <w:i/>
              </w:rPr>
            </w:pPr>
            <w:r w:rsidRPr="006E3A1B">
              <w:rPr>
                <w:rFonts w:ascii="Times New Roman" w:hAnsi="Times New Roman" w:cs="Times New Roman"/>
                <w:i/>
              </w:rPr>
              <w:t xml:space="preserve">   Interest</w:t>
            </w:r>
          </w:p>
        </w:tc>
        <w:tc>
          <w:tcPr>
            <w:tcW w:w="1710" w:type="dxa"/>
          </w:tcPr>
          <w:p w:rsidR="00752A42" w:rsidRPr="006E3A1B" w:rsidRDefault="00752A42" w:rsidP="00C620DA">
            <w:pPr>
              <w:jc w:val="both"/>
              <w:rPr>
                <w:rFonts w:ascii="Times New Roman" w:hAnsi="Times New Roman" w:cs="Times New Roman"/>
                <w:i/>
              </w:rPr>
            </w:pPr>
          </w:p>
        </w:tc>
        <w:tc>
          <w:tcPr>
            <w:tcW w:w="1710" w:type="dxa"/>
          </w:tcPr>
          <w:p w:rsidR="00752A42" w:rsidRPr="006E3A1B" w:rsidRDefault="00752A42" w:rsidP="00C620DA">
            <w:pPr>
              <w:jc w:val="both"/>
              <w:rPr>
                <w:rFonts w:ascii="Times New Roman" w:hAnsi="Times New Roman" w:cs="Times New Roman"/>
                <w:i/>
              </w:rPr>
            </w:pPr>
          </w:p>
        </w:tc>
        <w:tc>
          <w:tcPr>
            <w:tcW w:w="1525" w:type="dxa"/>
          </w:tcPr>
          <w:p w:rsidR="00752A42" w:rsidRPr="006E3A1B" w:rsidRDefault="00752A42" w:rsidP="00C620DA">
            <w:pPr>
              <w:jc w:val="both"/>
              <w:rPr>
                <w:rFonts w:ascii="Times New Roman" w:hAnsi="Times New Roman" w:cs="Times New Roman"/>
                <w:i/>
              </w:rPr>
            </w:pPr>
          </w:p>
        </w:tc>
      </w:tr>
      <w:tr w:rsidR="00752A42" w:rsidRPr="00C620DA" w:rsidTr="00752A42">
        <w:tc>
          <w:tcPr>
            <w:tcW w:w="4405" w:type="dxa"/>
          </w:tcPr>
          <w:p w:rsidR="00752A42" w:rsidRPr="006E3A1B" w:rsidRDefault="00752A42" w:rsidP="00C620DA">
            <w:pPr>
              <w:jc w:val="both"/>
              <w:rPr>
                <w:rFonts w:ascii="Times New Roman" w:hAnsi="Times New Roman" w:cs="Times New Roman"/>
                <w:i/>
              </w:rPr>
            </w:pPr>
            <w:r w:rsidRPr="006E3A1B">
              <w:rPr>
                <w:rFonts w:ascii="Times New Roman" w:hAnsi="Times New Roman" w:cs="Times New Roman"/>
                <w:i/>
              </w:rPr>
              <w:t xml:space="preserve">   Changes of benefit terms</w:t>
            </w:r>
          </w:p>
        </w:tc>
        <w:tc>
          <w:tcPr>
            <w:tcW w:w="1710" w:type="dxa"/>
          </w:tcPr>
          <w:p w:rsidR="00752A42" w:rsidRPr="006E3A1B" w:rsidRDefault="00752A42" w:rsidP="00C620DA">
            <w:pPr>
              <w:jc w:val="both"/>
              <w:rPr>
                <w:rFonts w:ascii="Times New Roman" w:hAnsi="Times New Roman" w:cs="Times New Roman"/>
                <w:i/>
              </w:rPr>
            </w:pPr>
          </w:p>
        </w:tc>
        <w:tc>
          <w:tcPr>
            <w:tcW w:w="1710" w:type="dxa"/>
          </w:tcPr>
          <w:p w:rsidR="00752A42" w:rsidRPr="006E3A1B" w:rsidRDefault="00752A42" w:rsidP="00C620DA">
            <w:pPr>
              <w:jc w:val="both"/>
              <w:rPr>
                <w:rFonts w:ascii="Times New Roman" w:hAnsi="Times New Roman" w:cs="Times New Roman"/>
                <w:i/>
              </w:rPr>
            </w:pPr>
          </w:p>
        </w:tc>
        <w:tc>
          <w:tcPr>
            <w:tcW w:w="1525" w:type="dxa"/>
          </w:tcPr>
          <w:p w:rsidR="00752A42" w:rsidRPr="006E3A1B" w:rsidRDefault="00752A42" w:rsidP="00C620DA">
            <w:pPr>
              <w:jc w:val="both"/>
              <w:rPr>
                <w:rFonts w:ascii="Times New Roman" w:hAnsi="Times New Roman" w:cs="Times New Roman"/>
                <w:i/>
              </w:rPr>
            </w:pPr>
          </w:p>
        </w:tc>
      </w:tr>
      <w:tr w:rsidR="00752A42" w:rsidRPr="00C620DA" w:rsidTr="00752A42">
        <w:tc>
          <w:tcPr>
            <w:tcW w:w="4405" w:type="dxa"/>
          </w:tcPr>
          <w:p w:rsidR="00752A42" w:rsidRPr="006E3A1B" w:rsidRDefault="00752A42" w:rsidP="00C620DA">
            <w:pPr>
              <w:jc w:val="both"/>
              <w:rPr>
                <w:rFonts w:ascii="Times New Roman" w:hAnsi="Times New Roman" w:cs="Times New Roman"/>
                <w:i/>
              </w:rPr>
            </w:pPr>
            <w:r w:rsidRPr="006E3A1B">
              <w:rPr>
                <w:rFonts w:ascii="Times New Roman" w:hAnsi="Times New Roman" w:cs="Times New Roman"/>
                <w:i/>
              </w:rPr>
              <w:t xml:space="preserve">   </w:t>
            </w:r>
            <w:r w:rsidR="00932CA1" w:rsidRPr="006E3A1B">
              <w:rPr>
                <w:rFonts w:ascii="Times New Roman" w:hAnsi="Times New Roman" w:cs="Times New Roman"/>
                <w:i/>
              </w:rPr>
              <w:t>*</w:t>
            </w:r>
            <w:r w:rsidRPr="006E3A1B">
              <w:rPr>
                <w:rFonts w:ascii="Times New Roman" w:hAnsi="Times New Roman" w:cs="Times New Roman"/>
                <w:i/>
              </w:rPr>
              <w:t>Differences between expected and actual experience</w:t>
            </w:r>
          </w:p>
        </w:tc>
        <w:tc>
          <w:tcPr>
            <w:tcW w:w="1710" w:type="dxa"/>
          </w:tcPr>
          <w:p w:rsidR="00752A42" w:rsidRPr="006E3A1B" w:rsidRDefault="00752A42" w:rsidP="00C620DA">
            <w:pPr>
              <w:jc w:val="both"/>
              <w:rPr>
                <w:rFonts w:ascii="Times New Roman" w:hAnsi="Times New Roman" w:cs="Times New Roman"/>
                <w:i/>
              </w:rPr>
            </w:pPr>
          </w:p>
        </w:tc>
        <w:tc>
          <w:tcPr>
            <w:tcW w:w="1710" w:type="dxa"/>
          </w:tcPr>
          <w:p w:rsidR="00752A42" w:rsidRPr="006E3A1B" w:rsidRDefault="00752A42" w:rsidP="00C620DA">
            <w:pPr>
              <w:jc w:val="both"/>
              <w:rPr>
                <w:rFonts w:ascii="Times New Roman" w:hAnsi="Times New Roman" w:cs="Times New Roman"/>
                <w:i/>
              </w:rPr>
            </w:pPr>
          </w:p>
        </w:tc>
        <w:tc>
          <w:tcPr>
            <w:tcW w:w="1525" w:type="dxa"/>
          </w:tcPr>
          <w:p w:rsidR="00752A42" w:rsidRPr="006E3A1B" w:rsidRDefault="00752A42" w:rsidP="00C620DA">
            <w:pPr>
              <w:jc w:val="both"/>
              <w:rPr>
                <w:rFonts w:ascii="Times New Roman" w:hAnsi="Times New Roman" w:cs="Times New Roman"/>
                <w:i/>
              </w:rPr>
            </w:pPr>
          </w:p>
        </w:tc>
      </w:tr>
      <w:tr w:rsidR="00932CA1" w:rsidRPr="00C620DA" w:rsidTr="00752A42">
        <w:tc>
          <w:tcPr>
            <w:tcW w:w="4405" w:type="dxa"/>
          </w:tcPr>
          <w:p w:rsidR="00932CA1" w:rsidRPr="006E3A1B" w:rsidRDefault="00932CA1" w:rsidP="00C620DA">
            <w:pPr>
              <w:jc w:val="both"/>
              <w:rPr>
                <w:rFonts w:ascii="Times New Roman" w:hAnsi="Times New Roman" w:cs="Times New Roman"/>
                <w:i/>
              </w:rPr>
            </w:pPr>
            <w:r w:rsidRPr="006E3A1B">
              <w:rPr>
                <w:rFonts w:ascii="Times New Roman" w:hAnsi="Times New Roman" w:cs="Times New Roman"/>
                <w:i/>
              </w:rPr>
              <w:t xml:space="preserve">   *Changes of assumptions</w:t>
            </w:r>
          </w:p>
        </w:tc>
        <w:tc>
          <w:tcPr>
            <w:tcW w:w="1710" w:type="dxa"/>
          </w:tcPr>
          <w:p w:rsidR="00932CA1" w:rsidRPr="006E3A1B" w:rsidRDefault="00932CA1" w:rsidP="00C620DA">
            <w:pPr>
              <w:jc w:val="both"/>
              <w:rPr>
                <w:rFonts w:ascii="Times New Roman" w:hAnsi="Times New Roman" w:cs="Times New Roman"/>
                <w:i/>
              </w:rPr>
            </w:pPr>
          </w:p>
        </w:tc>
        <w:tc>
          <w:tcPr>
            <w:tcW w:w="1710" w:type="dxa"/>
          </w:tcPr>
          <w:p w:rsidR="00932CA1" w:rsidRPr="006E3A1B" w:rsidRDefault="00932CA1" w:rsidP="00C620DA">
            <w:pPr>
              <w:jc w:val="both"/>
              <w:rPr>
                <w:rFonts w:ascii="Times New Roman" w:hAnsi="Times New Roman" w:cs="Times New Roman"/>
                <w:i/>
              </w:rPr>
            </w:pPr>
          </w:p>
        </w:tc>
        <w:tc>
          <w:tcPr>
            <w:tcW w:w="1525" w:type="dxa"/>
          </w:tcPr>
          <w:p w:rsidR="00932CA1" w:rsidRPr="006E3A1B" w:rsidRDefault="00932CA1" w:rsidP="00C620DA">
            <w:pPr>
              <w:jc w:val="both"/>
              <w:rPr>
                <w:rFonts w:ascii="Times New Roman" w:hAnsi="Times New Roman" w:cs="Times New Roman"/>
                <w:i/>
              </w:rPr>
            </w:pPr>
          </w:p>
        </w:tc>
      </w:tr>
      <w:tr w:rsidR="00932CA1" w:rsidRPr="00C620DA" w:rsidTr="00752A42">
        <w:tc>
          <w:tcPr>
            <w:tcW w:w="4405" w:type="dxa"/>
          </w:tcPr>
          <w:p w:rsidR="00932CA1" w:rsidRPr="006E3A1B" w:rsidRDefault="00932CA1" w:rsidP="00C620DA">
            <w:pPr>
              <w:jc w:val="both"/>
              <w:rPr>
                <w:rFonts w:ascii="Times New Roman" w:hAnsi="Times New Roman" w:cs="Times New Roman"/>
                <w:i/>
              </w:rPr>
            </w:pPr>
            <w:r w:rsidRPr="006E3A1B">
              <w:rPr>
                <w:rFonts w:ascii="Times New Roman" w:hAnsi="Times New Roman" w:cs="Times New Roman"/>
                <w:i/>
              </w:rPr>
              <w:t xml:space="preserve">   Contributions – employer</w:t>
            </w:r>
          </w:p>
        </w:tc>
        <w:tc>
          <w:tcPr>
            <w:tcW w:w="1710" w:type="dxa"/>
          </w:tcPr>
          <w:p w:rsidR="00932CA1" w:rsidRPr="006E3A1B" w:rsidRDefault="00932CA1" w:rsidP="00C620DA">
            <w:pPr>
              <w:jc w:val="both"/>
              <w:rPr>
                <w:rFonts w:ascii="Times New Roman" w:hAnsi="Times New Roman" w:cs="Times New Roman"/>
                <w:i/>
              </w:rPr>
            </w:pPr>
          </w:p>
        </w:tc>
        <w:tc>
          <w:tcPr>
            <w:tcW w:w="1710" w:type="dxa"/>
          </w:tcPr>
          <w:p w:rsidR="00932CA1" w:rsidRPr="006E3A1B" w:rsidRDefault="00932CA1" w:rsidP="00C620DA">
            <w:pPr>
              <w:jc w:val="both"/>
              <w:rPr>
                <w:rFonts w:ascii="Times New Roman" w:hAnsi="Times New Roman" w:cs="Times New Roman"/>
                <w:i/>
              </w:rPr>
            </w:pPr>
          </w:p>
        </w:tc>
        <w:tc>
          <w:tcPr>
            <w:tcW w:w="1525" w:type="dxa"/>
          </w:tcPr>
          <w:p w:rsidR="00932CA1" w:rsidRPr="006E3A1B" w:rsidRDefault="00932CA1" w:rsidP="00C620DA">
            <w:pPr>
              <w:jc w:val="both"/>
              <w:rPr>
                <w:rFonts w:ascii="Times New Roman" w:hAnsi="Times New Roman" w:cs="Times New Roman"/>
                <w:i/>
              </w:rPr>
            </w:pPr>
          </w:p>
        </w:tc>
      </w:tr>
      <w:tr w:rsidR="00932CA1" w:rsidRPr="00C620DA" w:rsidTr="00752A42">
        <w:tc>
          <w:tcPr>
            <w:tcW w:w="4405" w:type="dxa"/>
          </w:tcPr>
          <w:p w:rsidR="00932CA1" w:rsidRPr="006E3A1B" w:rsidRDefault="00932CA1" w:rsidP="00C620DA">
            <w:pPr>
              <w:jc w:val="both"/>
              <w:rPr>
                <w:rFonts w:ascii="Times New Roman" w:hAnsi="Times New Roman" w:cs="Times New Roman"/>
                <w:i/>
              </w:rPr>
            </w:pPr>
            <w:r w:rsidRPr="006E3A1B">
              <w:rPr>
                <w:rFonts w:ascii="Times New Roman" w:hAnsi="Times New Roman" w:cs="Times New Roman"/>
                <w:i/>
              </w:rPr>
              <w:t xml:space="preserve">   Contributions – employees</w:t>
            </w:r>
          </w:p>
        </w:tc>
        <w:tc>
          <w:tcPr>
            <w:tcW w:w="1710" w:type="dxa"/>
          </w:tcPr>
          <w:p w:rsidR="00932CA1" w:rsidRPr="006E3A1B" w:rsidRDefault="00932CA1" w:rsidP="00C620DA">
            <w:pPr>
              <w:jc w:val="both"/>
              <w:rPr>
                <w:rFonts w:ascii="Times New Roman" w:hAnsi="Times New Roman" w:cs="Times New Roman"/>
                <w:i/>
              </w:rPr>
            </w:pPr>
          </w:p>
        </w:tc>
        <w:tc>
          <w:tcPr>
            <w:tcW w:w="1710" w:type="dxa"/>
          </w:tcPr>
          <w:p w:rsidR="00932CA1" w:rsidRPr="006E3A1B" w:rsidRDefault="00932CA1" w:rsidP="00C620DA">
            <w:pPr>
              <w:jc w:val="both"/>
              <w:rPr>
                <w:rFonts w:ascii="Times New Roman" w:hAnsi="Times New Roman" w:cs="Times New Roman"/>
                <w:i/>
              </w:rPr>
            </w:pPr>
          </w:p>
        </w:tc>
        <w:tc>
          <w:tcPr>
            <w:tcW w:w="1525" w:type="dxa"/>
          </w:tcPr>
          <w:p w:rsidR="00932CA1" w:rsidRPr="006E3A1B" w:rsidRDefault="00932CA1" w:rsidP="00C620DA">
            <w:pPr>
              <w:jc w:val="both"/>
              <w:rPr>
                <w:rFonts w:ascii="Times New Roman" w:hAnsi="Times New Roman" w:cs="Times New Roman"/>
                <w:i/>
              </w:rPr>
            </w:pPr>
          </w:p>
        </w:tc>
      </w:tr>
      <w:tr w:rsidR="00932CA1" w:rsidRPr="00C620DA" w:rsidTr="00752A42">
        <w:tc>
          <w:tcPr>
            <w:tcW w:w="4405" w:type="dxa"/>
          </w:tcPr>
          <w:p w:rsidR="00932CA1" w:rsidRPr="006E3A1B" w:rsidRDefault="00932CA1" w:rsidP="00C620DA">
            <w:pPr>
              <w:jc w:val="both"/>
              <w:rPr>
                <w:rFonts w:ascii="Times New Roman" w:hAnsi="Times New Roman" w:cs="Times New Roman"/>
                <w:i/>
              </w:rPr>
            </w:pPr>
            <w:r w:rsidRPr="006E3A1B">
              <w:rPr>
                <w:rFonts w:ascii="Times New Roman" w:hAnsi="Times New Roman" w:cs="Times New Roman"/>
                <w:i/>
              </w:rPr>
              <w:t xml:space="preserve">   Net investment income</w:t>
            </w:r>
          </w:p>
        </w:tc>
        <w:tc>
          <w:tcPr>
            <w:tcW w:w="1710" w:type="dxa"/>
          </w:tcPr>
          <w:p w:rsidR="00932CA1" w:rsidRPr="006E3A1B" w:rsidRDefault="00932CA1" w:rsidP="00C620DA">
            <w:pPr>
              <w:jc w:val="both"/>
              <w:rPr>
                <w:rFonts w:ascii="Times New Roman" w:hAnsi="Times New Roman" w:cs="Times New Roman"/>
                <w:i/>
              </w:rPr>
            </w:pPr>
          </w:p>
        </w:tc>
        <w:tc>
          <w:tcPr>
            <w:tcW w:w="1710" w:type="dxa"/>
          </w:tcPr>
          <w:p w:rsidR="00932CA1" w:rsidRPr="006E3A1B" w:rsidRDefault="00932CA1" w:rsidP="00C620DA">
            <w:pPr>
              <w:jc w:val="both"/>
              <w:rPr>
                <w:rFonts w:ascii="Times New Roman" w:hAnsi="Times New Roman" w:cs="Times New Roman"/>
                <w:i/>
              </w:rPr>
            </w:pPr>
          </w:p>
        </w:tc>
        <w:tc>
          <w:tcPr>
            <w:tcW w:w="1525" w:type="dxa"/>
          </w:tcPr>
          <w:p w:rsidR="00932CA1" w:rsidRPr="006E3A1B" w:rsidRDefault="00932CA1" w:rsidP="00C620DA">
            <w:pPr>
              <w:jc w:val="both"/>
              <w:rPr>
                <w:rFonts w:ascii="Times New Roman" w:hAnsi="Times New Roman" w:cs="Times New Roman"/>
                <w:i/>
              </w:rPr>
            </w:pPr>
          </w:p>
        </w:tc>
      </w:tr>
      <w:tr w:rsidR="00932CA1" w:rsidRPr="00C620DA" w:rsidTr="00752A42">
        <w:tc>
          <w:tcPr>
            <w:tcW w:w="4405" w:type="dxa"/>
          </w:tcPr>
          <w:p w:rsidR="00932CA1" w:rsidRPr="006E3A1B" w:rsidRDefault="00932CA1" w:rsidP="006E3A1B">
            <w:pPr>
              <w:ind w:left="152" w:hanging="152"/>
              <w:rPr>
                <w:rFonts w:ascii="Times New Roman" w:hAnsi="Times New Roman" w:cs="Times New Roman"/>
                <w:i/>
              </w:rPr>
            </w:pPr>
            <w:r w:rsidRPr="006E3A1B">
              <w:rPr>
                <w:rFonts w:ascii="Times New Roman" w:hAnsi="Times New Roman" w:cs="Times New Roman"/>
                <w:i/>
              </w:rPr>
              <w:t xml:space="preserve">   Benefit payments, including refunds of contributions</w:t>
            </w:r>
          </w:p>
        </w:tc>
        <w:tc>
          <w:tcPr>
            <w:tcW w:w="1710" w:type="dxa"/>
          </w:tcPr>
          <w:p w:rsidR="00932CA1" w:rsidRPr="006E3A1B" w:rsidRDefault="00932CA1" w:rsidP="00C620DA">
            <w:pPr>
              <w:jc w:val="both"/>
              <w:rPr>
                <w:rFonts w:ascii="Times New Roman" w:hAnsi="Times New Roman" w:cs="Times New Roman"/>
                <w:i/>
              </w:rPr>
            </w:pPr>
          </w:p>
        </w:tc>
        <w:tc>
          <w:tcPr>
            <w:tcW w:w="1710" w:type="dxa"/>
          </w:tcPr>
          <w:p w:rsidR="00932CA1" w:rsidRPr="006E3A1B" w:rsidRDefault="00932CA1" w:rsidP="00C620DA">
            <w:pPr>
              <w:jc w:val="both"/>
              <w:rPr>
                <w:rFonts w:ascii="Times New Roman" w:hAnsi="Times New Roman" w:cs="Times New Roman"/>
                <w:i/>
              </w:rPr>
            </w:pPr>
          </w:p>
        </w:tc>
        <w:tc>
          <w:tcPr>
            <w:tcW w:w="1525" w:type="dxa"/>
          </w:tcPr>
          <w:p w:rsidR="00932CA1" w:rsidRPr="006E3A1B" w:rsidRDefault="00932CA1" w:rsidP="00C620DA">
            <w:pPr>
              <w:jc w:val="both"/>
              <w:rPr>
                <w:rFonts w:ascii="Times New Roman" w:hAnsi="Times New Roman" w:cs="Times New Roman"/>
                <w:i/>
              </w:rPr>
            </w:pPr>
          </w:p>
        </w:tc>
      </w:tr>
      <w:tr w:rsidR="00932CA1" w:rsidRPr="00C620DA" w:rsidTr="00752A42">
        <w:tc>
          <w:tcPr>
            <w:tcW w:w="4405" w:type="dxa"/>
          </w:tcPr>
          <w:p w:rsidR="00932CA1" w:rsidRPr="006E3A1B" w:rsidRDefault="00932CA1" w:rsidP="00C620DA">
            <w:pPr>
              <w:jc w:val="both"/>
              <w:rPr>
                <w:rFonts w:ascii="Times New Roman" w:hAnsi="Times New Roman" w:cs="Times New Roman"/>
                <w:i/>
              </w:rPr>
            </w:pPr>
            <w:r w:rsidRPr="006E3A1B">
              <w:rPr>
                <w:rFonts w:ascii="Times New Roman" w:hAnsi="Times New Roman" w:cs="Times New Roman"/>
                <w:i/>
              </w:rPr>
              <w:t xml:space="preserve">   Administrative expense</w:t>
            </w:r>
          </w:p>
        </w:tc>
        <w:tc>
          <w:tcPr>
            <w:tcW w:w="1710" w:type="dxa"/>
          </w:tcPr>
          <w:p w:rsidR="00932CA1" w:rsidRPr="006E3A1B" w:rsidRDefault="00932CA1" w:rsidP="00C620DA">
            <w:pPr>
              <w:jc w:val="both"/>
              <w:rPr>
                <w:rFonts w:ascii="Times New Roman" w:hAnsi="Times New Roman" w:cs="Times New Roman"/>
                <w:i/>
              </w:rPr>
            </w:pPr>
          </w:p>
        </w:tc>
        <w:tc>
          <w:tcPr>
            <w:tcW w:w="1710" w:type="dxa"/>
          </w:tcPr>
          <w:p w:rsidR="00932CA1" w:rsidRPr="006E3A1B" w:rsidRDefault="00932CA1" w:rsidP="00C620DA">
            <w:pPr>
              <w:jc w:val="both"/>
              <w:rPr>
                <w:rFonts w:ascii="Times New Roman" w:hAnsi="Times New Roman" w:cs="Times New Roman"/>
                <w:i/>
              </w:rPr>
            </w:pPr>
          </w:p>
        </w:tc>
        <w:tc>
          <w:tcPr>
            <w:tcW w:w="1525" w:type="dxa"/>
          </w:tcPr>
          <w:p w:rsidR="00932CA1" w:rsidRPr="006E3A1B" w:rsidRDefault="00932CA1" w:rsidP="00C620DA">
            <w:pPr>
              <w:jc w:val="both"/>
              <w:rPr>
                <w:rFonts w:ascii="Times New Roman" w:hAnsi="Times New Roman" w:cs="Times New Roman"/>
                <w:i/>
              </w:rPr>
            </w:pPr>
          </w:p>
        </w:tc>
      </w:tr>
      <w:tr w:rsidR="00932CA1" w:rsidRPr="00C620DA" w:rsidTr="00752A42">
        <w:tc>
          <w:tcPr>
            <w:tcW w:w="4405" w:type="dxa"/>
          </w:tcPr>
          <w:p w:rsidR="00932CA1" w:rsidRPr="006E3A1B" w:rsidRDefault="00932CA1" w:rsidP="00C620DA">
            <w:pPr>
              <w:jc w:val="both"/>
              <w:rPr>
                <w:rFonts w:ascii="Times New Roman" w:hAnsi="Times New Roman" w:cs="Times New Roman"/>
                <w:i/>
              </w:rPr>
            </w:pPr>
            <w:r w:rsidRPr="006E3A1B">
              <w:rPr>
                <w:rFonts w:ascii="Times New Roman" w:hAnsi="Times New Roman" w:cs="Times New Roman"/>
                <w:i/>
              </w:rPr>
              <w:t xml:space="preserve">   Other changes</w:t>
            </w:r>
          </w:p>
        </w:tc>
        <w:tc>
          <w:tcPr>
            <w:tcW w:w="1710" w:type="dxa"/>
          </w:tcPr>
          <w:p w:rsidR="00932CA1" w:rsidRPr="006E3A1B" w:rsidRDefault="00932CA1" w:rsidP="00C620DA">
            <w:pPr>
              <w:jc w:val="both"/>
              <w:rPr>
                <w:rFonts w:ascii="Times New Roman" w:hAnsi="Times New Roman" w:cs="Times New Roman"/>
                <w:i/>
              </w:rPr>
            </w:pPr>
          </w:p>
        </w:tc>
        <w:tc>
          <w:tcPr>
            <w:tcW w:w="1710" w:type="dxa"/>
          </w:tcPr>
          <w:p w:rsidR="00932CA1" w:rsidRPr="006E3A1B" w:rsidRDefault="00932CA1" w:rsidP="00C620DA">
            <w:pPr>
              <w:jc w:val="both"/>
              <w:rPr>
                <w:rFonts w:ascii="Times New Roman" w:hAnsi="Times New Roman" w:cs="Times New Roman"/>
                <w:i/>
              </w:rPr>
            </w:pPr>
          </w:p>
        </w:tc>
        <w:tc>
          <w:tcPr>
            <w:tcW w:w="1525" w:type="dxa"/>
          </w:tcPr>
          <w:p w:rsidR="00932CA1" w:rsidRPr="006E3A1B" w:rsidRDefault="00932CA1" w:rsidP="00C620DA">
            <w:pPr>
              <w:jc w:val="both"/>
              <w:rPr>
                <w:rFonts w:ascii="Times New Roman" w:hAnsi="Times New Roman" w:cs="Times New Roman"/>
                <w:i/>
              </w:rPr>
            </w:pPr>
          </w:p>
        </w:tc>
      </w:tr>
      <w:tr w:rsidR="00932CA1" w:rsidRPr="00C620DA" w:rsidTr="00752A42">
        <w:tc>
          <w:tcPr>
            <w:tcW w:w="4405" w:type="dxa"/>
          </w:tcPr>
          <w:p w:rsidR="00932CA1" w:rsidRPr="006E3A1B" w:rsidRDefault="00932CA1" w:rsidP="00C620DA">
            <w:pPr>
              <w:jc w:val="both"/>
              <w:rPr>
                <w:rFonts w:ascii="Times New Roman" w:hAnsi="Times New Roman" w:cs="Times New Roman"/>
                <w:i/>
              </w:rPr>
            </w:pPr>
            <w:r w:rsidRPr="006E3A1B">
              <w:rPr>
                <w:rFonts w:ascii="Times New Roman" w:hAnsi="Times New Roman" w:cs="Times New Roman"/>
                <w:i/>
              </w:rPr>
              <w:t xml:space="preserve">      Net changes</w:t>
            </w:r>
          </w:p>
        </w:tc>
        <w:tc>
          <w:tcPr>
            <w:tcW w:w="1710" w:type="dxa"/>
          </w:tcPr>
          <w:p w:rsidR="00932CA1" w:rsidRPr="006E3A1B" w:rsidRDefault="00932CA1" w:rsidP="00C620DA">
            <w:pPr>
              <w:jc w:val="both"/>
              <w:rPr>
                <w:rFonts w:ascii="Times New Roman" w:hAnsi="Times New Roman" w:cs="Times New Roman"/>
                <w:i/>
              </w:rPr>
            </w:pPr>
          </w:p>
        </w:tc>
        <w:tc>
          <w:tcPr>
            <w:tcW w:w="1710" w:type="dxa"/>
          </w:tcPr>
          <w:p w:rsidR="00932CA1" w:rsidRPr="006E3A1B" w:rsidRDefault="00932CA1" w:rsidP="00C620DA">
            <w:pPr>
              <w:jc w:val="both"/>
              <w:rPr>
                <w:rFonts w:ascii="Times New Roman" w:hAnsi="Times New Roman" w:cs="Times New Roman"/>
                <w:i/>
              </w:rPr>
            </w:pPr>
          </w:p>
        </w:tc>
        <w:tc>
          <w:tcPr>
            <w:tcW w:w="1525" w:type="dxa"/>
          </w:tcPr>
          <w:p w:rsidR="00932CA1" w:rsidRPr="006E3A1B" w:rsidRDefault="00932CA1" w:rsidP="00C620DA">
            <w:pPr>
              <w:jc w:val="both"/>
              <w:rPr>
                <w:rFonts w:ascii="Times New Roman" w:hAnsi="Times New Roman" w:cs="Times New Roman"/>
                <w:i/>
              </w:rPr>
            </w:pPr>
          </w:p>
        </w:tc>
      </w:tr>
      <w:tr w:rsidR="00932CA1" w:rsidRPr="00C620DA" w:rsidTr="00752A42">
        <w:tc>
          <w:tcPr>
            <w:tcW w:w="4405" w:type="dxa"/>
          </w:tcPr>
          <w:p w:rsidR="00932CA1" w:rsidRPr="006E3A1B" w:rsidRDefault="00932CA1" w:rsidP="006E3A1B">
            <w:pPr>
              <w:jc w:val="both"/>
              <w:rPr>
                <w:rFonts w:ascii="Times New Roman" w:hAnsi="Times New Roman" w:cs="Times New Roman"/>
                <w:i/>
              </w:rPr>
            </w:pPr>
            <w:r w:rsidRPr="006E3A1B">
              <w:rPr>
                <w:rFonts w:ascii="Times New Roman" w:hAnsi="Times New Roman" w:cs="Times New Roman"/>
                <w:i/>
              </w:rPr>
              <w:t>Balances at 12/31/20</w:t>
            </w:r>
            <w:r w:rsidR="006E3A1B">
              <w:rPr>
                <w:rFonts w:ascii="Times New Roman" w:hAnsi="Times New Roman" w:cs="Times New Roman"/>
                <w:i/>
              </w:rPr>
              <w:t>__</w:t>
            </w:r>
          </w:p>
        </w:tc>
        <w:tc>
          <w:tcPr>
            <w:tcW w:w="1710" w:type="dxa"/>
          </w:tcPr>
          <w:p w:rsidR="00932CA1" w:rsidRPr="006E3A1B" w:rsidRDefault="00932CA1" w:rsidP="00C620DA">
            <w:pPr>
              <w:jc w:val="both"/>
              <w:rPr>
                <w:rFonts w:ascii="Times New Roman" w:hAnsi="Times New Roman" w:cs="Times New Roman"/>
                <w:i/>
              </w:rPr>
            </w:pPr>
          </w:p>
        </w:tc>
        <w:tc>
          <w:tcPr>
            <w:tcW w:w="1710" w:type="dxa"/>
          </w:tcPr>
          <w:p w:rsidR="00932CA1" w:rsidRPr="006E3A1B" w:rsidRDefault="00932CA1" w:rsidP="00C620DA">
            <w:pPr>
              <w:jc w:val="both"/>
              <w:rPr>
                <w:rFonts w:ascii="Times New Roman" w:hAnsi="Times New Roman" w:cs="Times New Roman"/>
                <w:i/>
              </w:rPr>
            </w:pPr>
          </w:p>
        </w:tc>
        <w:tc>
          <w:tcPr>
            <w:tcW w:w="1525" w:type="dxa"/>
          </w:tcPr>
          <w:p w:rsidR="00932CA1" w:rsidRPr="006E3A1B" w:rsidRDefault="00932CA1" w:rsidP="00C620DA">
            <w:pPr>
              <w:jc w:val="both"/>
              <w:rPr>
                <w:rFonts w:ascii="Times New Roman" w:hAnsi="Times New Roman" w:cs="Times New Roman"/>
                <w:i/>
              </w:rPr>
            </w:pPr>
          </w:p>
        </w:tc>
      </w:tr>
    </w:tbl>
    <w:p w:rsidR="000D7292" w:rsidRPr="006E3A1B" w:rsidRDefault="000D7292" w:rsidP="00C620DA">
      <w:pPr>
        <w:spacing w:after="0" w:line="240" w:lineRule="auto"/>
        <w:jc w:val="both"/>
        <w:rPr>
          <w:rFonts w:ascii="Times New Roman" w:hAnsi="Times New Roman" w:cs="Times New Roman"/>
          <w:color w:val="0000FF"/>
        </w:rPr>
      </w:pPr>
    </w:p>
    <w:p w:rsidR="002E2CD3" w:rsidRDefault="002E2CD3" w:rsidP="00C620DA">
      <w:pPr>
        <w:spacing w:after="0" w:line="240" w:lineRule="auto"/>
        <w:jc w:val="both"/>
        <w:rPr>
          <w:rFonts w:ascii="Times New Roman" w:hAnsi="Times New Roman" w:cs="Times New Roman"/>
          <w:color w:val="0000FF"/>
        </w:rPr>
      </w:pPr>
      <w:r w:rsidRPr="006E3A1B">
        <w:rPr>
          <w:rFonts w:ascii="Times New Roman" w:hAnsi="Times New Roman" w:cs="Times New Roman"/>
          <w:color w:val="0000FF"/>
        </w:rPr>
        <w:t>In addition to the information required</w:t>
      </w:r>
      <w:r w:rsidR="009138CB" w:rsidRPr="006E3A1B">
        <w:rPr>
          <w:rFonts w:ascii="Times New Roman" w:hAnsi="Times New Roman" w:cs="Times New Roman"/>
          <w:color w:val="0000FF"/>
        </w:rPr>
        <w:t xml:space="preserve"> above,</w:t>
      </w:r>
      <w:r w:rsidRPr="006E3A1B">
        <w:rPr>
          <w:rFonts w:ascii="Times New Roman" w:hAnsi="Times New Roman" w:cs="Times New Roman"/>
          <w:color w:val="0000FF"/>
        </w:rPr>
        <w:t xml:space="preserve"> the following information should be disclosed, if applicable:</w:t>
      </w:r>
    </w:p>
    <w:p w:rsidR="006E3A1B" w:rsidRPr="006E3A1B" w:rsidRDefault="006E3A1B" w:rsidP="00C620DA">
      <w:pPr>
        <w:spacing w:after="0" w:line="240" w:lineRule="auto"/>
        <w:jc w:val="both"/>
        <w:rPr>
          <w:rFonts w:ascii="Times New Roman" w:hAnsi="Times New Roman" w:cs="Times New Roman"/>
          <w:color w:val="0000FF"/>
        </w:rPr>
      </w:pPr>
    </w:p>
    <w:p w:rsidR="009138CB" w:rsidRPr="006E3A1B" w:rsidRDefault="002E2CD3" w:rsidP="006E3A1B">
      <w:pPr>
        <w:spacing w:after="0" w:line="240" w:lineRule="auto"/>
        <w:ind w:left="720"/>
        <w:jc w:val="both"/>
        <w:rPr>
          <w:rFonts w:ascii="Times New Roman" w:hAnsi="Times New Roman" w:cs="Times New Roman"/>
          <w:color w:val="0000FF"/>
        </w:rPr>
      </w:pPr>
      <w:r w:rsidRPr="006E3A1B">
        <w:rPr>
          <w:rFonts w:ascii="Times New Roman" w:hAnsi="Times New Roman" w:cs="Times New Roman"/>
          <w:b/>
          <w:color w:val="0000FF"/>
        </w:rPr>
        <w:t>a.</w:t>
      </w:r>
      <w:r w:rsidRPr="006E3A1B">
        <w:rPr>
          <w:rFonts w:ascii="Times New Roman" w:hAnsi="Times New Roman" w:cs="Times New Roman"/>
          <w:color w:val="0000FF"/>
        </w:rPr>
        <w:t xml:space="preserve"> The measurement date of the net OPEB liability; the date of the actuarial valuation or alternative measurement method calculation on which the total OPEB liability is based; and, if applicable, the fact that update procedures were used to roll forward the total OPEB liability to the measurement date.</w:t>
      </w:r>
      <w:r w:rsidR="006E3A1B">
        <w:rPr>
          <w:rFonts w:ascii="Times New Roman" w:hAnsi="Times New Roman" w:cs="Times New Roman"/>
          <w:color w:val="0000FF"/>
        </w:rPr>
        <w:t xml:space="preserve"> </w:t>
      </w:r>
      <w:r w:rsidRPr="006E3A1B">
        <w:rPr>
          <w:rFonts w:ascii="Times New Roman" w:hAnsi="Times New Roman" w:cs="Times New Roman"/>
          <w:color w:val="0000FF"/>
        </w:rPr>
        <w:t xml:space="preserve"> If the alternative measurement method is used to measure the total OPEB liability, the fact that this alternative method was used in place of an actuarial valuation also should be disclosed.</w:t>
      </w:r>
    </w:p>
    <w:p w:rsidR="006E3A1B" w:rsidRDefault="006E3A1B" w:rsidP="006E3A1B">
      <w:pPr>
        <w:spacing w:after="0" w:line="240" w:lineRule="auto"/>
        <w:ind w:left="720"/>
        <w:jc w:val="both"/>
        <w:rPr>
          <w:rFonts w:ascii="Times New Roman" w:hAnsi="Times New Roman" w:cs="Times New Roman"/>
          <w:b/>
          <w:color w:val="0000FF"/>
        </w:rPr>
      </w:pPr>
    </w:p>
    <w:p w:rsidR="009138CB" w:rsidRPr="006E3A1B" w:rsidRDefault="002E2CD3" w:rsidP="006E3A1B">
      <w:pPr>
        <w:spacing w:after="0" w:line="240" w:lineRule="auto"/>
        <w:ind w:left="720"/>
        <w:jc w:val="both"/>
        <w:rPr>
          <w:rFonts w:ascii="Times New Roman" w:hAnsi="Times New Roman" w:cs="Times New Roman"/>
          <w:color w:val="0000FF"/>
        </w:rPr>
      </w:pPr>
      <w:r w:rsidRPr="006E3A1B">
        <w:rPr>
          <w:rFonts w:ascii="Times New Roman" w:hAnsi="Times New Roman" w:cs="Times New Roman"/>
          <w:b/>
          <w:color w:val="0000FF"/>
        </w:rPr>
        <w:t>b.</w:t>
      </w:r>
      <w:r w:rsidRPr="006E3A1B">
        <w:rPr>
          <w:rFonts w:ascii="Times New Roman" w:hAnsi="Times New Roman" w:cs="Times New Roman"/>
          <w:color w:val="0000FF"/>
        </w:rPr>
        <w:t xml:space="preserve"> If the employer has a special funding situation, the employer’s proportion (percentage) of the collective net OPEB liability, the basis on which its proportion was determined, and the change in its proportion since the prior measurement date.</w:t>
      </w:r>
    </w:p>
    <w:p w:rsidR="006E3A1B" w:rsidRDefault="006E3A1B" w:rsidP="006E3A1B">
      <w:pPr>
        <w:spacing w:after="0" w:line="240" w:lineRule="auto"/>
        <w:ind w:left="720"/>
        <w:jc w:val="both"/>
        <w:rPr>
          <w:rFonts w:ascii="Times New Roman" w:hAnsi="Times New Roman" w:cs="Times New Roman"/>
          <w:b/>
          <w:color w:val="0000FF"/>
        </w:rPr>
      </w:pPr>
    </w:p>
    <w:p w:rsidR="009138CB" w:rsidRPr="006E3A1B" w:rsidRDefault="002E2CD3" w:rsidP="006E3A1B">
      <w:pPr>
        <w:spacing w:after="0" w:line="240" w:lineRule="auto"/>
        <w:ind w:left="720"/>
        <w:jc w:val="both"/>
        <w:rPr>
          <w:rFonts w:ascii="Times New Roman" w:hAnsi="Times New Roman" w:cs="Times New Roman"/>
          <w:color w:val="0000FF"/>
        </w:rPr>
      </w:pPr>
      <w:r w:rsidRPr="006E3A1B">
        <w:rPr>
          <w:rFonts w:ascii="Times New Roman" w:hAnsi="Times New Roman" w:cs="Times New Roman"/>
          <w:b/>
          <w:color w:val="0000FF"/>
        </w:rPr>
        <w:t>c.</w:t>
      </w:r>
      <w:r w:rsidRPr="006E3A1B">
        <w:rPr>
          <w:rFonts w:ascii="Times New Roman" w:hAnsi="Times New Roman" w:cs="Times New Roman"/>
          <w:color w:val="0000FF"/>
        </w:rPr>
        <w:t xml:space="preserve"> A brief description of changes of assumptions or other inputs that affected measurement of the total OPEB liability since the prior measurement date.</w:t>
      </w:r>
    </w:p>
    <w:p w:rsidR="006E3A1B" w:rsidRDefault="006E3A1B" w:rsidP="006E3A1B">
      <w:pPr>
        <w:spacing w:after="0" w:line="240" w:lineRule="auto"/>
        <w:ind w:left="720"/>
        <w:jc w:val="both"/>
        <w:rPr>
          <w:rFonts w:ascii="Times New Roman" w:hAnsi="Times New Roman" w:cs="Times New Roman"/>
          <w:b/>
          <w:color w:val="0000FF"/>
        </w:rPr>
      </w:pPr>
    </w:p>
    <w:p w:rsidR="009138CB" w:rsidRPr="006E3A1B" w:rsidRDefault="002E2CD3" w:rsidP="006E3A1B">
      <w:pPr>
        <w:spacing w:after="0" w:line="240" w:lineRule="auto"/>
        <w:ind w:left="720"/>
        <w:jc w:val="both"/>
        <w:rPr>
          <w:rFonts w:ascii="Times New Roman" w:hAnsi="Times New Roman" w:cs="Times New Roman"/>
          <w:color w:val="0000FF"/>
        </w:rPr>
      </w:pPr>
      <w:r w:rsidRPr="006E3A1B">
        <w:rPr>
          <w:rFonts w:ascii="Times New Roman" w:hAnsi="Times New Roman" w:cs="Times New Roman"/>
          <w:b/>
          <w:color w:val="0000FF"/>
        </w:rPr>
        <w:t>d.</w:t>
      </w:r>
      <w:r w:rsidRPr="006E3A1B">
        <w:rPr>
          <w:rFonts w:ascii="Times New Roman" w:hAnsi="Times New Roman" w:cs="Times New Roman"/>
          <w:color w:val="0000FF"/>
        </w:rPr>
        <w:t xml:space="preserve"> A</w:t>
      </w:r>
      <w:r w:rsidR="009138CB" w:rsidRPr="006E3A1B">
        <w:rPr>
          <w:rFonts w:ascii="Times New Roman" w:hAnsi="Times New Roman" w:cs="Times New Roman"/>
          <w:color w:val="0000FF"/>
        </w:rPr>
        <w:t xml:space="preserve"> </w:t>
      </w:r>
      <w:r w:rsidRPr="006E3A1B">
        <w:rPr>
          <w:rFonts w:ascii="Times New Roman" w:hAnsi="Times New Roman" w:cs="Times New Roman"/>
          <w:color w:val="0000FF"/>
        </w:rPr>
        <w:t>brief description of changes of beneﬁt terms that affected measurement of the total OPEB liability since the prior measurement date.</w:t>
      </w:r>
    </w:p>
    <w:p w:rsidR="006E3A1B" w:rsidRDefault="006E3A1B" w:rsidP="006E3A1B">
      <w:pPr>
        <w:spacing w:after="0" w:line="240" w:lineRule="auto"/>
        <w:ind w:left="720"/>
        <w:jc w:val="both"/>
        <w:rPr>
          <w:rFonts w:ascii="Times New Roman" w:hAnsi="Times New Roman" w:cs="Times New Roman"/>
          <w:b/>
          <w:color w:val="0000FF"/>
        </w:rPr>
      </w:pPr>
    </w:p>
    <w:p w:rsidR="009138CB" w:rsidRPr="006E3A1B" w:rsidRDefault="002E2CD3" w:rsidP="006E3A1B">
      <w:pPr>
        <w:spacing w:after="0" w:line="240" w:lineRule="auto"/>
        <w:ind w:left="720"/>
        <w:jc w:val="both"/>
        <w:rPr>
          <w:rFonts w:ascii="Times New Roman" w:hAnsi="Times New Roman" w:cs="Times New Roman"/>
          <w:color w:val="0000FF"/>
        </w:rPr>
      </w:pPr>
      <w:r w:rsidRPr="006E3A1B">
        <w:rPr>
          <w:rFonts w:ascii="Times New Roman" w:hAnsi="Times New Roman" w:cs="Times New Roman"/>
          <w:b/>
          <w:color w:val="0000FF"/>
        </w:rPr>
        <w:t>e.</w:t>
      </w:r>
      <w:r w:rsidRPr="006E3A1B">
        <w:rPr>
          <w:rFonts w:ascii="Times New Roman" w:hAnsi="Times New Roman" w:cs="Times New Roman"/>
          <w:color w:val="0000FF"/>
        </w:rPr>
        <w:t xml:space="preserve"> The amount of beneﬁt payments in the measurement period attributable to the purchase of allocated insurance contracts, a brief description of the beneﬁts for which allocated insurance contracts were purchased in the measurement period, and the fact that the obligation for the payment of beneﬁts covered by allocated insurance contracts has been transferred from the employer to one or more insurance companies.</w:t>
      </w:r>
    </w:p>
    <w:p w:rsidR="006E3A1B" w:rsidRDefault="006E3A1B" w:rsidP="006E3A1B">
      <w:pPr>
        <w:spacing w:after="0" w:line="240" w:lineRule="auto"/>
        <w:ind w:left="720"/>
        <w:jc w:val="both"/>
        <w:rPr>
          <w:rFonts w:ascii="Times New Roman" w:hAnsi="Times New Roman" w:cs="Times New Roman"/>
          <w:b/>
          <w:color w:val="0000FF"/>
        </w:rPr>
      </w:pPr>
    </w:p>
    <w:p w:rsidR="009138CB" w:rsidRPr="006E3A1B" w:rsidRDefault="002E2CD3" w:rsidP="006E3A1B">
      <w:pPr>
        <w:spacing w:after="0" w:line="240" w:lineRule="auto"/>
        <w:ind w:left="720"/>
        <w:jc w:val="both"/>
        <w:rPr>
          <w:rFonts w:ascii="Times New Roman" w:hAnsi="Times New Roman" w:cs="Times New Roman"/>
          <w:color w:val="0000FF"/>
        </w:rPr>
      </w:pPr>
      <w:r w:rsidRPr="006E3A1B">
        <w:rPr>
          <w:rFonts w:ascii="Times New Roman" w:hAnsi="Times New Roman" w:cs="Times New Roman"/>
          <w:b/>
          <w:color w:val="0000FF"/>
        </w:rPr>
        <w:t>f.</w:t>
      </w:r>
      <w:r w:rsidRPr="006E3A1B">
        <w:rPr>
          <w:rFonts w:ascii="Times New Roman" w:hAnsi="Times New Roman" w:cs="Times New Roman"/>
          <w:color w:val="0000FF"/>
        </w:rPr>
        <w:t xml:space="preserve"> A</w:t>
      </w:r>
      <w:r w:rsidR="009138CB" w:rsidRPr="006E3A1B">
        <w:rPr>
          <w:rFonts w:ascii="Times New Roman" w:hAnsi="Times New Roman" w:cs="Times New Roman"/>
          <w:color w:val="0000FF"/>
        </w:rPr>
        <w:t xml:space="preserve"> </w:t>
      </w:r>
      <w:r w:rsidRPr="006E3A1B">
        <w:rPr>
          <w:rFonts w:ascii="Times New Roman" w:hAnsi="Times New Roman" w:cs="Times New Roman"/>
          <w:color w:val="0000FF"/>
        </w:rPr>
        <w:t>brief description of the nature of changes between the measurement date of</w:t>
      </w:r>
      <w:r w:rsidR="009138CB" w:rsidRPr="006E3A1B">
        <w:rPr>
          <w:rFonts w:ascii="Times New Roman" w:hAnsi="Times New Roman" w:cs="Times New Roman"/>
          <w:color w:val="0000FF"/>
        </w:rPr>
        <w:t xml:space="preserve"> </w:t>
      </w:r>
      <w:r w:rsidRPr="006E3A1B">
        <w:rPr>
          <w:rFonts w:ascii="Times New Roman" w:hAnsi="Times New Roman" w:cs="Times New Roman"/>
          <w:color w:val="0000FF"/>
        </w:rPr>
        <w:t>the</w:t>
      </w:r>
      <w:r w:rsidR="009138CB" w:rsidRPr="006E3A1B">
        <w:rPr>
          <w:rFonts w:ascii="Times New Roman" w:hAnsi="Times New Roman" w:cs="Times New Roman"/>
          <w:color w:val="0000FF"/>
        </w:rPr>
        <w:t xml:space="preserve"> </w:t>
      </w:r>
      <w:r w:rsidRPr="006E3A1B">
        <w:rPr>
          <w:rFonts w:ascii="Times New Roman" w:hAnsi="Times New Roman" w:cs="Times New Roman"/>
          <w:color w:val="0000FF"/>
        </w:rPr>
        <w:t>net</w:t>
      </w:r>
      <w:r w:rsidR="009138CB" w:rsidRPr="006E3A1B">
        <w:rPr>
          <w:rFonts w:ascii="Times New Roman" w:hAnsi="Times New Roman" w:cs="Times New Roman"/>
          <w:color w:val="0000FF"/>
        </w:rPr>
        <w:t xml:space="preserve"> </w:t>
      </w:r>
      <w:r w:rsidRPr="006E3A1B">
        <w:rPr>
          <w:rFonts w:ascii="Times New Roman" w:hAnsi="Times New Roman" w:cs="Times New Roman"/>
          <w:color w:val="0000FF"/>
        </w:rPr>
        <w:t>OPEB</w:t>
      </w:r>
      <w:r w:rsidR="009138CB" w:rsidRPr="006E3A1B">
        <w:rPr>
          <w:rFonts w:ascii="Times New Roman" w:hAnsi="Times New Roman" w:cs="Times New Roman"/>
          <w:color w:val="0000FF"/>
        </w:rPr>
        <w:t xml:space="preserve"> </w:t>
      </w:r>
      <w:r w:rsidRPr="006E3A1B">
        <w:rPr>
          <w:rFonts w:ascii="Times New Roman" w:hAnsi="Times New Roman" w:cs="Times New Roman"/>
          <w:color w:val="0000FF"/>
        </w:rPr>
        <w:t>liability</w:t>
      </w:r>
      <w:r w:rsidR="009138CB" w:rsidRPr="006E3A1B">
        <w:rPr>
          <w:rFonts w:ascii="Times New Roman" w:hAnsi="Times New Roman" w:cs="Times New Roman"/>
          <w:color w:val="0000FF"/>
        </w:rPr>
        <w:t xml:space="preserve"> </w:t>
      </w:r>
      <w:r w:rsidRPr="006E3A1B">
        <w:rPr>
          <w:rFonts w:ascii="Times New Roman" w:hAnsi="Times New Roman" w:cs="Times New Roman"/>
          <w:color w:val="0000FF"/>
        </w:rPr>
        <w:t>and</w:t>
      </w:r>
      <w:r w:rsidR="009138CB" w:rsidRPr="006E3A1B">
        <w:rPr>
          <w:rFonts w:ascii="Times New Roman" w:hAnsi="Times New Roman" w:cs="Times New Roman"/>
          <w:color w:val="0000FF"/>
        </w:rPr>
        <w:t xml:space="preserve"> </w:t>
      </w:r>
      <w:r w:rsidRPr="006E3A1B">
        <w:rPr>
          <w:rFonts w:ascii="Times New Roman" w:hAnsi="Times New Roman" w:cs="Times New Roman"/>
          <w:color w:val="0000FF"/>
        </w:rPr>
        <w:t>the</w:t>
      </w:r>
      <w:r w:rsidR="009138CB" w:rsidRPr="006E3A1B">
        <w:rPr>
          <w:rFonts w:ascii="Times New Roman" w:hAnsi="Times New Roman" w:cs="Times New Roman"/>
          <w:color w:val="0000FF"/>
        </w:rPr>
        <w:t xml:space="preserve"> </w:t>
      </w:r>
      <w:r w:rsidRPr="006E3A1B">
        <w:rPr>
          <w:rFonts w:ascii="Times New Roman" w:hAnsi="Times New Roman" w:cs="Times New Roman"/>
          <w:color w:val="0000FF"/>
        </w:rPr>
        <w:t>employer’s</w:t>
      </w:r>
      <w:r w:rsidR="009138CB" w:rsidRPr="006E3A1B">
        <w:rPr>
          <w:rFonts w:ascii="Times New Roman" w:hAnsi="Times New Roman" w:cs="Times New Roman"/>
          <w:color w:val="0000FF"/>
        </w:rPr>
        <w:t xml:space="preserve"> </w:t>
      </w:r>
      <w:r w:rsidRPr="006E3A1B">
        <w:rPr>
          <w:rFonts w:ascii="Times New Roman" w:hAnsi="Times New Roman" w:cs="Times New Roman"/>
          <w:color w:val="0000FF"/>
        </w:rPr>
        <w:t>reporting</w:t>
      </w:r>
      <w:r w:rsidR="009138CB" w:rsidRPr="006E3A1B">
        <w:rPr>
          <w:rFonts w:ascii="Times New Roman" w:hAnsi="Times New Roman" w:cs="Times New Roman"/>
          <w:color w:val="0000FF"/>
        </w:rPr>
        <w:t xml:space="preserve"> </w:t>
      </w:r>
      <w:r w:rsidRPr="006E3A1B">
        <w:rPr>
          <w:rFonts w:ascii="Times New Roman" w:hAnsi="Times New Roman" w:cs="Times New Roman"/>
          <w:color w:val="0000FF"/>
        </w:rPr>
        <w:t>date</w:t>
      </w:r>
      <w:r w:rsidR="009138CB" w:rsidRPr="006E3A1B">
        <w:rPr>
          <w:rFonts w:ascii="Times New Roman" w:hAnsi="Times New Roman" w:cs="Times New Roman"/>
          <w:color w:val="0000FF"/>
        </w:rPr>
        <w:t xml:space="preserve"> </w:t>
      </w:r>
      <w:r w:rsidRPr="006E3A1B">
        <w:rPr>
          <w:rFonts w:ascii="Times New Roman" w:hAnsi="Times New Roman" w:cs="Times New Roman"/>
          <w:color w:val="0000FF"/>
        </w:rPr>
        <w:t>that</w:t>
      </w:r>
      <w:r w:rsidR="009138CB" w:rsidRPr="006E3A1B">
        <w:rPr>
          <w:rFonts w:ascii="Times New Roman" w:hAnsi="Times New Roman" w:cs="Times New Roman"/>
          <w:color w:val="0000FF"/>
        </w:rPr>
        <w:t xml:space="preserve"> </w:t>
      </w:r>
      <w:r w:rsidRPr="006E3A1B">
        <w:rPr>
          <w:rFonts w:ascii="Times New Roman" w:hAnsi="Times New Roman" w:cs="Times New Roman"/>
          <w:color w:val="0000FF"/>
        </w:rPr>
        <w:t>are</w:t>
      </w:r>
      <w:r w:rsidR="009138CB" w:rsidRPr="006E3A1B">
        <w:rPr>
          <w:rFonts w:ascii="Times New Roman" w:hAnsi="Times New Roman" w:cs="Times New Roman"/>
          <w:color w:val="0000FF"/>
        </w:rPr>
        <w:t xml:space="preserve"> </w:t>
      </w:r>
      <w:r w:rsidRPr="006E3A1B">
        <w:rPr>
          <w:rFonts w:ascii="Times New Roman" w:hAnsi="Times New Roman" w:cs="Times New Roman"/>
          <w:color w:val="0000FF"/>
        </w:rPr>
        <w:t>expected to have a signiﬁcant effect on the net OPEB liability, and the amount of the expected resultant change in the net OPEB liability, if known.</w:t>
      </w:r>
    </w:p>
    <w:p w:rsidR="006E3A1B" w:rsidRDefault="006E3A1B" w:rsidP="006E3A1B">
      <w:pPr>
        <w:spacing w:after="0" w:line="240" w:lineRule="auto"/>
        <w:ind w:left="720"/>
        <w:jc w:val="both"/>
        <w:rPr>
          <w:rFonts w:ascii="Times New Roman" w:hAnsi="Times New Roman" w:cs="Times New Roman"/>
          <w:b/>
          <w:color w:val="0000FF"/>
        </w:rPr>
      </w:pPr>
    </w:p>
    <w:p w:rsidR="009138CB" w:rsidRPr="006E3A1B" w:rsidRDefault="002E2CD3" w:rsidP="006E3A1B">
      <w:pPr>
        <w:spacing w:after="0" w:line="240" w:lineRule="auto"/>
        <w:ind w:left="720"/>
        <w:jc w:val="both"/>
        <w:rPr>
          <w:rFonts w:ascii="Times New Roman" w:hAnsi="Times New Roman" w:cs="Times New Roman"/>
          <w:color w:val="0000FF"/>
        </w:rPr>
      </w:pPr>
      <w:r w:rsidRPr="006E3A1B">
        <w:rPr>
          <w:rFonts w:ascii="Times New Roman" w:hAnsi="Times New Roman" w:cs="Times New Roman"/>
          <w:b/>
          <w:color w:val="0000FF"/>
        </w:rPr>
        <w:t>g.</w:t>
      </w:r>
      <w:r w:rsidRPr="006E3A1B">
        <w:rPr>
          <w:rFonts w:ascii="Times New Roman" w:hAnsi="Times New Roman" w:cs="Times New Roman"/>
          <w:color w:val="0000FF"/>
        </w:rPr>
        <w:t xml:space="preserve"> The amount of OPEB expense recognized by the employer in the reporting period.</w:t>
      </w:r>
    </w:p>
    <w:p w:rsidR="006E3A1B" w:rsidRDefault="006E3A1B" w:rsidP="006E3A1B">
      <w:pPr>
        <w:spacing w:after="0" w:line="240" w:lineRule="auto"/>
        <w:ind w:left="720"/>
        <w:jc w:val="both"/>
        <w:rPr>
          <w:rFonts w:ascii="Times New Roman" w:hAnsi="Times New Roman" w:cs="Times New Roman"/>
          <w:b/>
          <w:color w:val="0000FF"/>
        </w:rPr>
      </w:pPr>
    </w:p>
    <w:p w:rsidR="009138CB" w:rsidRPr="006E3A1B" w:rsidRDefault="002E2CD3" w:rsidP="006E3A1B">
      <w:pPr>
        <w:spacing w:after="0" w:line="240" w:lineRule="auto"/>
        <w:ind w:left="720"/>
        <w:jc w:val="both"/>
        <w:rPr>
          <w:rFonts w:ascii="Times New Roman" w:hAnsi="Times New Roman" w:cs="Times New Roman"/>
          <w:color w:val="0000FF"/>
        </w:rPr>
      </w:pPr>
      <w:r w:rsidRPr="006E3A1B">
        <w:rPr>
          <w:rFonts w:ascii="Times New Roman" w:hAnsi="Times New Roman" w:cs="Times New Roman"/>
          <w:b/>
          <w:color w:val="0000FF"/>
        </w:rPr>
        <w:t>h</w:t>
      </w:r>
      <w:r w:rsidRPr="006E3A1B">
        <w:rPr>
          <w:rFonts w:ascii="Times New Roman" w:hAnsi="Times New Roman" w:cs="Times New Roman"/>
          <w:color w:val="0000FF"/>
        </w:rPr>
        <w:t>. The employer’s balances of deferred outﬂows of resources and deferred inﬂows of resources related to OPEB, if applicable:</w:t>
      </w:r>
    </w:p>
    <w:p w:rsidR="00BA02CA" w:rsidRPr="006E3A1B" w:rsidRDefault="005D5789" w:rsidP="006E3A1B">
      <w:pPr>
        <w:autoSpaceDE w:val="0"/>
        <w:autoSpaceDN w:val="0"/>
        <w:adjustRightInd w:val="0"/>
        <w:spacing w:after="0" w:line="240" w:lineRule="auto"/>
        <w:ind w:left="720"/>
        <w:jc w:val="both"/>
        <w:rPr>
          <w:rFonts w:ascii="Times New Roman" w:hAnsi="Times New Roman" w:cs="Times New Roman"/>
          <w:color w:val="0000FF"/>
        </w:rPr>
      </w:pPr>
      <w:r>
        <w:rPr>
          <w:rFonts w:ascii="Times New Roman" w:hAnsi="Times New Roman" w:cs="Times New Roman"/>
          <w:color w:val="0000FF"/>
        </w:rPr>
        <w:t>[</w:t>
      </w:r>
      <w:r w:rsidR="00BA02CA" w:rsidRPr="006E3A1B">
        <w:rPr>
          <w:rFonts w:ascii="Times New Roman" w:hAnsi="Times New Roman" w:cs="Times New Roman"/>
          <w:color w:val="0000FF"/>
        </w:rPr>
        <w:t>Note</w:t>
      </w:r>
      <w:r w:rsidR="006E3A1B" w:rsidRPr="006E3A1B">
        <w:rPr>
          <w:rFonts w:ascii="Times New Roman" w:hAnsi="Times New Roman" w:cs="Times New Roman"/>
          <w:color w:val="0000FF"/>
        </w:rPr>
        <w:t>:</w:t>
      </w:r>
      <w:r w:rsidR="00BA02CA" w:rsidRPr="006E3A1B">
        <w:rPr>
          <w:rFonts w:ascii="Times New Roman" w:hAnsi="Times New Roman" w:cs="Times New Roman"/>
          <w:color w:val="0000FF"/>
        </w:rPr>
        <w:t xml:space="preserve"> This information should come from your actuarial valuation.  Under the alternative measurement method, deferred outflows and inflows </w:t>
      </w:r>
      <w:r w:rsidR="00BA02CA" w:rsidRPr="006E3A1B">
        <w:rPr>
          <w:rFonts w:ascii="Times New Roman" w:hAnsi="Times New Roman" w:cs="Times New Roman"/>
          <w:color w:val="0000FF"/>
          <w:u w:val="single"/>
        </w:rPr>
        <w:t>are not</w:t>
      </w:r>
      <w:r w:rsidR="00BA02CA" w:rsidRPr="006E3A1B">
        <w:rPr>
          <w:rFonts w:ascii="Times New Roman" w:hAnsi="Times New Roman" w:cs="Times New Roman"/>
          <w:color w:val="0000FF"/>
        </w:rPr>
        <w:t xml:space="preserve"> calculated for anything other than payments subsequent to the measurement date.</w:t>
      </w:r>
      <w:r>
        <w:rPr>
          <w:rFonts w:ascii="Times New Roman" w:hAnsi="Times New Roman" w:cs="Times New Roman"/>
          <w:color w:val="0000FF"/>
        </w:rPr>
        <w:t>]</w:t>
      </w:r>
    </w:p>
    <w:p w:rsidR="00BA02CA" w:rsidRPr="00C620DA" w:rsidRDefault="00BA02CA" w:rsidP="00C620DA">
      <w:pPr>
        <w:autoSpaceDE w:val="0"/>
        <w:autoSpaceDN w:val="0"/>
        <w:adjustRightInd w:val="0"/>
        <w:spacing w:after="0" w:line="240" w:lineRule="auto"/>
        <w:jc w:val="both"/>
        <w:rPr>
          <w:rFonts w:ascii="Times New Roman" w:hAnsi="Times New Roman" w:cs="Times New Roman"/>
          <w:color w:val="1F4E79" w:themeColor="accent1" w:themeShade="80"/>
        </w:rPr>
      </w:pPr>
    </w:p>
    <w:p w:rsidR="00BA02CA" w:rsidRPr="00E542BB" w:rsidRDefault="00BA02CA" w:rsidP="00C620DA">
      <w:pPr>
        <w:autoSpaceDE w:val="0"/>
        <w:autoSpaceDN w:val="0"/>
        <w:adjustRightInd w:val="0"/>
        <w:spacing w:after="0" w:line="240" w:lineRule="auto"/>
        <w:jc w:val="both"/>
        <w:rPr>
          <w:rFonts w:ascii="Times New Roman" w:hAnsi="Times New Roman" w:cs="Times New Roman"/>
          <w:i/>
        </w:rPr>
      </w:pPr>
      <w:r w:rsidRPr="00E542BB">
        <w:rPr>
          <w:rFonts w:ascii="Times New Roman" w:hAnsi="Times New Roman" w:cs="Times New Roman"/>
          <w:i/>
        </w:rPr>
        <w:t>At December 31, 20</w:t>
      </w:r>
      <w:r w:rsidR="00E542BB" w:rsidRPr="00E542BB">
        <w:rPr>
          <w:rFonts w:ascii="Times New Roman" w:hAnsi="Times New Roman" w:cs="Times New Roman"/>
          <w:i/>
        </w:rPr>
        <w:t>__</w:t>
      </w:r>
      <w:r w:rsidRPr="00E542BB">
        <w:rPr>
          <w:rFonts w:ascii="Times New Roman" w:hAnsi="Times New Roman" w:cs="Times New Roman"/>
          <w:i/>
        </w:rPr>
        <w:t xml:space="preserve">, the </w:t>
      </w:r>
      <w:r w:rsidR="006E3A1B" w:rsidRPr="00E542BB">
        <w:rPr>
          <w:rFonts w:ascii="Times New Roman" w:hAnsi="Times New Roman" w:cs="Times New Roman"/>
          <w:i/>
          <w:u w:val="single"/>
        </w:rPr>
        <w:t>(city/county/district)</w:t>
      </w:r>
      <w:r w:rsidRPr="00E542BB">
        <w:rPr>
          <w:rFonts w:ascii="Times New Roman" w:hAnsi="Times New Roman" w:cs="Times New Roman"/>
          <w:i/>
        </w:rPr>
        <w:t xml:space="preserve"> reported deferred outflows of resources and deferred inflows of resources related to OPEB from the following sources:</w:t>
      </w:r>
    </w:p>
    <w:p w:rsidR="00BA02CA" w:rsidRPr="00E542BB" w:rsidRDefault="00BA02CA" w:rsidP="00C620DA">
      <w:pPr>
        <w:autoSpaceDE w:val="0"/>
        <w:autoSpaceDN w:val="0"/>
        <w:adjustRightInd w:val="0"/>
        <w:spacing w:after="0" w:line="240" w:lineRule="auto"/>
        <w:jc w:val="both"/>
        <w:rPr>
          <w:rFonts w:ascii="Times New Roman" w:hAnsi="Times New Roman" w:cs="Times New Roman"/>
          <w:i/>
        </w:rPr>
      </w:pPr>
    </w:p>
    <w:tbl>
      <w:tblPr>
        <w:tblStyle w:val="TableGrid"/>
        <w:tblW w:w="0" w:type="auto"/>
        <w:tblInd w:w="1008" w:type="dxa"/>
        <w:tblLook w:val="04A0" w:firstRow="1" w:lastRow="0" w:firstColumn="1" w:lastColumn="0" w:noHBand="0" w:noVBand="1"/>
      </w:tblPr>
      <w:tblGrid>
        <w:gridCol w:w="2970"/>
        <w:gridCol w:w="2160"/>
        <w:gridCol w:w="2070"/>
      </w:tblGrid>
      <w:tr w:rsidR="00E542BB" w:rsidRPr="00E542BB" w:rsidTr="003C1192">
        <w:tc>
          <w:tcPr>
            <w:tcW w:w="2970" w:type="dxa"/>
          </w:tcPr>
          <w:p w:rsidR="00BA02CA" w:rsidRPr="00E542BB" w:rsidRDefault="00BA02CA" w:rsidP="00C620DA">
            <w:pPr>
              <w:autoSpaceDE w:val="0"/>
              <w:autoSpaceDN w:val="0"/>
              <w:adjustRightInd w:val="0"/>
              <w:jc w:val="both"/>
              <w:rPr>
                <w:rFonts w:ascii="Times New Roman" w:hAnsi="Times New Roman" w:cs="Times New Roman"/>
                <w:i/>
              </w:rPr>
            </w:pPr>
          </w:p>
        </w:tc>
        <w:tc>
          <w:tcPr>
            <w:tcW w:w="2160" w:type="dxa"/>
            <w:shd w:val="clear" w:color="auto" w:fill="D5DCE4" w:themeFill="text2" w:themeFillTint="33"/>
          </w:tcPr>
          <w:p w:rsidR="00BA02CA" w:rsidRPr="00E542BB" w:rsidRDefault="00BA02CA" w:rsidP="00E542BB">
            <w:pPr>
              <w:autoSpaceDE w:val="0"/>
              <w:autoSpaceDN w:val="0"/>
              <w:adjustRightInd w:val="0"/>
              <w:jc w:val="center"/>
              <w:rPr>
                <w:rFonts w:ascii="Times New Roman" w:hAnsi="Times New Roman" w:cs="Times New Roman"/>
                <w:i/>
              </w:rPr>
            </w:pPr>
            <w:r w:rsidRPr="00E542BB">
              <w:rPr>
                <w:rFonts w:ascii="Times New Roman" w:hAnsi="Times New Roman" w:cs="Times New Roman"/>
                <w:i/>
              </w:rPr>
              <w:t>Deferred Outflows of Resources</w:t>
            </w:r>
          </w:p>
        </w:tc>
        <w:tc>
          <w:tcPr>
            <w:tcW w:w="2070" w:type="dxa"/>
            <w:shd w:val="clear" w:color="auto" w:fill="D5DCE4" w:themeFill="text2" w:themeFillTint="33"/>
          </w:tcPr>
          <w:p w:rsidR="00BA02CA" w:rsidRPr="00E542BB" w:rsidRDefault="00BA02CA" w:rsidP="00E542BB">
            <w:pPr>
              <w:autoSpaceDE w:val="0"/>
              <w:autoSpaceDN w:val="0"/>
              <w:adjustRightInd w:val="0"/>
              <w:jc w:val="center"/>
              <w:rPr>
                <w:rFonts w:ascii="Times New Roman" w:hAnsi="Times New Roman" w:cs="Times New Roman"/>
                <w:i/>
              </w:rPr>
            </w:pPr>
            <w:r w:rsidRPr="00E542BB">
              <w:rPr>
                <w:rFonts w:ascii="Times New Roman" w:hAnsi="Times New Roman" w:cs="Times New Roman"/>
                <w:i/>
              </w:rPr>
              <w:t>Deferred Inflows of Resources</w:t>
            </w:r>
          </w:p>
        </w:tc>
      </w:tr>
      <w:tr w:rsidR="00E542BB" w:rsidRPr="00E542BB" w:rsidTr="003C1192">
        <w:tc>
          <w:tcPr>
            <w:tcW w:w="2970" w:type="dxa"/>
          </w:tcPr>
          <w:p w:rsidR="00BA02CA" w:rsidRPr="00E542BB" w:rsidRDefault="00BA02CA"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Differences between expected and actual experience</w:t>
            </w:r>
          </w:p>
          <w:p w:rsidR="00BA02CA" w:rsidRPr="00E542BB" w:rsidRDefault="00BA02CA" w:rsidP="00C620DA">
            <w:pPr>
              <w:autoSpaceDE w:val="0"/>
              <w:autoSpaceDN w:val="0"/>
              <w:adjustRightInd w:val="0"/>
              <w:jc w:val="both"/>
              <w:rPr>
                <w:rFonts w:ascii="Times New Roman" w:hAnsi="Times New Roman" w:cs="Times New Roman"/>
                <w:i/>
              </w:rPr>
            </w:pPr>
          </w:p>
        </w:tc>
        <w:tc>
          <w:tcPr>
            <w:tcW w:w="2160" w:type="dxa"/>
          </w:tcPr>
          <w:p w:rsidR="00BA02CA" w:rsidRPr="00E542BB" w:rsidRDefault="00BA02CA"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w:t>
            </w:r>
          </w:p>
        </w:tc>
        <w:tc>
          <w:tcPr>
            <w:tcW w:w="2070" w:type="dxa"/>
          </w:tcPr>
          <w:p w:rsidR="00BA02CA" w:rsidRPr="00E542BB" w:rsidRDefault="00BA02CA"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w:t>
            </w:r>
          </w:p>
        </w:tc>
      </w:tr>
      <w:tr w:rsidR="00E542BB" w:rsidRPr="00E542BB" w:rsidTr="003C1192">
        <w:tc>
          <w:tcPr>
            <w:tcW w:w="2970" w:type="dxa"/>
          </w:tcPr>
          <w:p w:rsidR="00BA02CA" w:rsidRPr="00E542BB" w:rsidRDefault="00BA02CA"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Changes of assumptions</w:t>
            </w:r>
          </w:p>
          <w:p w:rsidR="00BA02CA" w:rsidRPr="00E542BB" w:rsidRDefault="00BA02CA" w:rsidP="00C620DA">
            <w:pPr>
              <w:autoSpaceDE w:val="0"/>
              <w:autoSpaceDN w:val="0"/>
              <w:adjustRightInd w:val="0"/>
              <w:jc w:val="both"/>
              <w:rPr>
                <w:rFonts w:ascii="Times New Roman" w:hAnsi="Times New Roman" w:cs="Times New Roman"/>
                <w:i/>
              </w:rPr>
            </w:pPr>
          </w:p>
        </w:tc>
        <w:tc>
          <w:tcPr>
            <w:tcW w:w="2160" w:type="dxa"/>
          </w:tcPr>
          <w:p w:rsidR="00BA02CA" w:rsidRPr="00E542BB" w:rsidRDefault="00BA02CA"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w:t>
            </w:r>
          </w:p>
        </w:tc>
        <w:tc>
          <w:tcPr>
            <w:tcW w:w="2070" w:type="dxa"/>
          </w:tcPr>
          <w:p w:rsidR="00BA02CA" w:rsidRPr="00E542BB" w:rsidRDefault="00BA02CA"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w:t>
            </w:r>
          </w:p>
        </w:tc>
      </w:tr>
      <w:tr w:rsidR="00E542BB" w:rsidRPr="00E542BB" w:rsidTr="003C1192">
        <w:tc>
          <w:tcPr>
            <w:tcW w:w="2970" w:type="dxa"/>
          </w:tcPr>
          <w:p w:rsidR="00BA02CA" w:rsidRPr="00E542BB" w:rsidRDefault="00BA02CA" w:rsidP="00E542BB">
            <w:pPr>
              <w:autoSpaceDE w:val="0"/>
              <w:autoSpaceDN w:val="0"/>
              <w:adjustRightInd w:val="0"/>
              <w:rPr>
                <w:rFonts w:ascii="Times New Roman" w:hAnsi="Times New Roman" w:cs="Times New Roman"/>
                <w:i/>
              </w:rPr>
            </w:pPr>
            <w:r w:rsidRPr="00E542BB">
              <w:rPr>
                <w:rFonts w:ascii="Times New Roman" w:hAnsi="Times New Roman" w:cs="Times New Roman"/>
                <w:i/>
              </w:rPr>
              <w:t>Net difference between projected and actual investment earnings on OPEB plan investments</w:t>
            </w:r>
          </w:p>
          <w:p w:rsidR="00BA02CA" w:rsidRPr="00E542BB" w:rsidRDefault="00BA02CA" w:rsidP="00C620DA">
            <w:pPr>
              <w:autoSpaceDE w:val="0"/>
              <w:autoSpaceDN w:val="0"/>
              <w:adjustRightInd w:val="0"/>
              <w:jc w:val="both"/>
              <w:rPr>
                <w:rFonts w:ascii="Times New Roman" w:hAnsi="Times New Roman" w:cs="Times New Roman"/>
                <w:i/>
              </w:rPr>
            </w:pPr>
          </w:p>
        </w:tc>
        <w:tc>
          <w:tcPr>
            <w:tcW w:w="2160" w:type="dxa"/>
          </w:tcPr>
          <w:p w:rsidR="00BA02CA" w:rsidRPr="00E542BB" w:rsidRDefault="00BA02CA"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w:t>
            </w:r>
          </w:p>
        </w:tc>
        <w:tc>
          <w:tcPr>
            <w:tcW w:w="2070" w:type="dxa"/>
          </w:tcPr>
          <w:p w:rsidR="00BA02CA" w:rsidRPr="00E542BB" w:rsidRDefault="00BA02CA"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w:t>
            </w:r>
          </w:p>
        </w:tc>
      </w:tr>
      <w:tr w:rsidR="00E542BB" w:rsidRPr="00E542BB" w:rsidTr="003C1192">
        <w:tc>
          <w:tcPr>
            <w:tcW w:w="2970" w:type="dxa"/>
          </w:tcPr>
          <w:p w:rsidR="00BA02CA" w:rsidRDefault="00BA02CA" w:rsidP="00E542BB">
            <w:pPr>
              <w:autoSpaceDE w:val="0"/>
              <w:autoSpaceDN w:val="0"/>
              <w:adjustRightInd w:val="0"/>
              <w:rPr>
                <w:rFonts w:ascii="Times New Roman" w:hAnsi="Times New Roman" w:cs="Times New Roman"/>
                <w:i/>
              </w:rPr>
            </w:pPr>
            <w:r w:rsidRPr="00E542BB">
              <w:rPr>
                <w:rFonts w:ascii="Times New Roman" w:hAnsi="Times New Roman" w:cs="Times New Roman"/>
                <w:i/>
              </w:rPr>
              <w:t>Contributions subsequent to the measurement date</w:t>
            </w:r>
          </w:p>
          <w:p w:rsidR="005D5789" w:rsidRPr="00E542BB" w:rsidRDefault="005D5789" w:rsidP="00E542BB">
            <w:pPr>
              <w:autoSpaceDE w:val="0"/>
              <w:autoSpaceDN w:val="0"/>
              <w:adjustRightInd w:val="0"/>
              <w:rPr>
                <w:rFonts w:ascii="Times New Roman" w:hAnsi="Times New Roman" w:cs="Times New Roman"/>
                <w:i/>
              </w:rPr>
            </w:pPr>
          </w:p>
        </w:tc>
        <w:tc>
          <w:tcPr>
            <w:tcW w:w="2160" w:type="dxa"/>
          </w:tcPr>
          <w:p w:rsidR="00BA02CA" w:rsidRPr="00E542BB" w:rsidRDefault="00BA02CA"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w:t>
            </w:r>
          </w:p>
        </w:tc>
        <w:tc>
          <w:tcPr>
            <w:tcW w:w="2070" w:type="dxa"/>
          </w:tcPr>
          <w:p w:rsidR="00BA02CA" w:rsidRPr="00E542BB" w:rsidRDefault="00BA02CA"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w:t>
            </w:r>
          </w:p>
        </w:tc>
      </w:tr>
      <w:tr w:rsidR="00E542BB" w:rsidRPr="00E542BB" w:rsidTr="003C1192">
        <w:tc>
          <w:tcPr>
            <w:tcW w:w="2970" w:type="dxa"/>
          </w:tcPr>
          <w:p w:rsidR="00BA02CA" w:rsidRPr="00E542BB" w:rsidRDefault="00BA02CA"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TOTAL*</w:t>
            </w:r>
          </w:p>
        </w:tc>
        <w:tc>
          <w:tcPr>
            <w:tcW w:w="2160" w:type="dxa"/>
          </w:tcPr>
          <w:p w:rsidR="00BA02CA" w:rsidRPr="00E542BB" w:rsidRDefault="00BA02CA"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w:t>
            </w:r>
          </w:p>
        </w:tc>
        <w:tc>
          <w:tcPr>
            <w:tcW w:w="2070" w:type="dxa"/>
          </w:tcPr>
          <w:p w:rsidR="00BA02CA" w:rsidRPr="00E542BB" w:rsidRDefault="00BA02CA"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w:t>
            </w:r>
          </w:p>
        </w:tc>
      </w:tr>
    </w:tbl>
    <w:p w:rsidR="00BA02CA" w:rsidRPr="00E542BB" w:rsidRDefault="00BA02CA" w:rsidP="00C620DA">
      <w:pPr>
        <w:autoSpaceDE w:val="0"/>
        <w:autoSpaceDN w:val="0"/>
        <w:adjustRightInd w:val="0"/>
        <w:spacing w:after="0" w:line="240" w:lineRule="auto"/>
        <w:jc w:val="both"/>
        <w:rPr>
          <w:rFonts w:ascii="Times New Roman" w:hAnsi="Times New Roman" w:cs="Times New Roman"/>
          <w:color w:val="0000FF"/>
        </w:rPr>
      </w:pPr>
    </w:p>
    <w:p w:rsidR="009138CB" w:rsidRPr="00E542BB" w:rsidRDefault="00BA02CA" w:rsidP="00C620DA">
      <w:pPr>
        <w:spacing w:after="0" w:line="240" w:lineRule="auto"/>
        <w:jc w:val="both"/>
        <w:rPr>
          <w:rFonts w:ascii="Times New Roman" w:hAnsi="Times New Roman" w:cs="Times New Roman"/>
          <w:color w:val="0000FF"/>
        </w:rPr>
      </w:pPr>
      <w:r w:rsidRPr="00E542BB">
        <w:rPr>
          <w:rFonts w:ascii="Times New Roman" w:hAnsi="Times New Roman" w:cs="Times New Roman"/>
          <w:i/>
          <w:color w:val="0000FF"/>
        </w:rPr>
        <w:t xml:space="preserve">* </w:t>
      </w:r>
      <w:r w:rsidRPr="00E542BB">
        <w:rPr>
          <w:rFonts w:ascii="Times New Roman" w:hAnsi="Times New Roman" w:cs="Times New Roman"/>
          <w:color w:val="0000FF"/>
        </w:rPr>
        <w:t>Total should agree to amounts presented in the financial statements.</w:t>
      </w:r>
    </w:p>
    <w:p w:rsidR="00E542BB" w:rsidRPr="00E542BB" w:rsidRDefault="00E542BB" w:rsidP="00C620DA">
      <w:pPr>
        <w:spacing w:after="0" w:line="240" w:lineRule="auto"/>
        <w:jc w:val="both"/>
        <w:rPr>
          <w:rFonts w:ascii="Times New Roman" w:hAnsi="Times New Roman" w:cs="Times New Roman"/>
          <w:color w:val="0000FF"/>
        </w:rPr>
      </w:pPr>
    </w:p>
    <w:p w:rsidR="00E542BB" w:rsidRDefault="002E2CD3" w:rsidP="00E542BB">
      <w:p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For each of the subsequent ﬁve years, and in the aggregate thereafter, the net amount of the employer’s balances of deferred outﬂows of resources</w:t>
      </w:r>
      <w:r w:rsidR="00BA02CA" w:rsidRPr="00E542BB">
        <w:rPr>
          <w:rFonts w:ascii="Times New Roman" w:hAnsi="Times New Roman" w:cs="Times New Roman"/>
          <w:color w:val="0000FF"/>
        </w:rPr>
        <w:t xml:space="preserve"> </w:t>
      </w:r>
      <w:r w:rsidRPr="00E542BB">
        <w:rPr>
          <w:rFonts w:ascii="Times New Roman" w:hAnsi="Times New Roman" w:cs="Times New Roman"/>
          <w:color w:val="0000FF"/>
        </w:rPr>
        <w:t>and</w:t>
      </w:r>
      <w:r w:rsidR="00BA02CA" w:rsidRPr="00E542BB">
        <w:rPr>
          <w:rFonts w:ascii="Times New Roman" w:hAnsi="Times New Roman" w:cs="Times New Roman"/>
          <w:color w:val="0000FF"/>
        </w:rPr>
        <w:t xml:space="preserve"> </w:t>
      </w:r>
      <w:r w:rsidRPr="00E542BB">
        <w:rPr>
          <w:rFonts w:ascii="Times New Roman" w:hAnsi="Times New Roman" w:cs="Times New Roman"/>
          <w:color w:val="0000FF"/>
        </w:rPr>
        <w:t>deferred</w:t>
      </w:r>
      <w:r w:rsidR="00BA02CA" w:rsidRPr="00E542BB">
        <w:rPr>
          <w:rFonts w:ascii="Times New Roman" w:hAnsi="Times New Roman" w:cs="Times New Roman"/>
          <w:color w:val="0000FF"/>
        </w:rPr>
        <w:t xml:space="preserve"> </w:t>
      </w:r>
      <w:r w:rsidRPr="00E542BB">
        <w:rPr>
          <w:rFonts w:ascii="Times New Roman" w:hAnsi="Times New Roman" w:cs="Times New Roman"/>
          <w:color w:val="0000FF"/>
        </w:rPr>
        <w:t>inﬂows</w:t>
      </w:r>
      <w:r w:rsidR="00BA02CA" w:rsidRPr="00E542BB">
        <w:rPr>
          <w:rFonts w:ascii="Times New Roman" w:hAnsi="Times New Roman" w:cs="Times New Roman"/>
          <w:color w:val="0000FF"/>
        </w:rPr>
        <w:t xml:space="preserve"> </w:t>
      </w:r>
      <w:r w:rsidRPr="00E542BB">
        <w:rPr>
          <w:rFonts w:ascii="Times New Roman" w:hAnsi="Times New Roman" w:cs="Times New Roman"/>
          <w:color w:val="0000FF"/>
        </w:rPr>
        <w:t>of</w:t>
      </w:r>
      <w:r w:rsidR="00BA02CA" w:rsidRPr="00E542BB">
        <w:rPr>
          <w:rFonts w:ascii="Times New Roman" w:hAnsi="Times New Roman" w:cs="Times New Roman"/>
          <w:color w:val="0000FF"/>
        </w:rPr>
        <w:t xml:space="preserve"> </w:t>
      </w:r>
      <w:r w:rsidRPr="00E542BB">
        <w:rPr>
          <w:rFonts w:ascii="Times New Roman" w:hAnsi="Times New Roman" w:cs="Times New Roman"/>
          <w:color w:val="0000FF"/>
        </w:rPr>
        <w:t>resources</w:t>
      </w:r>
      <w:r w:rsidR="00BA02CA" w:rsidRPr="00E542BB">
        <w:rPr>
          <w:rFonts w:ascii="Times New Roman" w:hAnsi="Times New Roman" w:cs="Times New Roman"/>
          <w:color w:val="0000FF"/>
        </w:rPr>
        <w:t xml:space="preserve"> </w:t>
      </w:r>
      <w:r w:rsidRPr="00E542BB">
        <w:rPr>
          <w:rFonts w:ascii="Times New Roman" w:hAnsi="Times New Roman" w:cs="Times New Roman"/>
          <w:color w:val="0000FF"/>
        </w:rPr>
        <w:t>in</w:t>
      </w:r>
      <w:r w:rsidR="00C85F4F" w:rsidRPr="00E542BB">
        <w:rPr>
          <w:rFonts w:ascii="Times New Roman" w:hAnsi="Times New Roman" w:cs="Times New Roman"/>
          <w:color w:val="0000FF"/>
        </w:rPr>
        <w:t xml:space="preserve"> the table above</w:t>
      </w:r>
      <w:r w:rsidR="0067783D" w:rsidRPr="00E542BB">
        <w:rPr>
          <w:rFonts w:ascii="Times New Roman" w:hAnsi="Times New Roman" w:cs="Times New Roman"/>
          <w:color w:val="0000FF"/>
        </w:rPr>
        <w:t xml:space="preserve"> </w:t>
      </w:r>
      <w:r w:rsidRPr="00E542BB">
        <w:rPr>
          <w:rFonts w:ascii="Times New Roman" w:hAnsi="Times New Roman" w:cs="Times New Roman"/>
          <w:color w:val="0000FF"/>
        </w:rPr>
        <w:t>that</w:t>
      </w:r>
      <w:r w:rsidR="00BA02CA" w:rsidRPr="00E542BB">
        <w:rPr>
          <w:rFonts w:ascii="Times New Roman" w:hAnsi="Times New Roman" w:cs="Times New Roman"/>
          <w:color w:val="0000FF"/>
        </w:rPr>
        <w:t xml:space="preserve"> </w:t>
      </w:r>
      <w:r w:rsidRPr="00E542BB">
        <w:rPr>
          <w:rFonts w:ascii="Times New Roman" w:hAnsi="Times New Roman" w:cs="Times New Roman"/>
          <w:color w:val="0000FF"/>
        </w:rPr>
        <w:t>will be recognized in the employer’s OPEB expense</w:t>
      </w:r>
      <w:r w:rsidR="00C85F4F" w:rsidRPr="00E542BB">
        <w:rPr>
          <w:rFonts w:ascii="Times New Roman" w:hAnsi="Times New Roman" w:cs="Times New Roman"/>
          <w:color w:val="0000FF"/>
        </w:rPr>
        <w:t>.</w:t>
      </w:r>
    </w:p>
    <w:p w:rsidR="00E542BB" w:rsidRDefault="00E542BB" w:rsidP="00E542BB">
      <w:pPr>
        <w:spacing w:after="0" w:line="240" w:lineRule="auto"/>
        <w:jc w:val="both"/>
        <w:rPr>
          <w:rFonts w:ascii="Times New Roman" w:hAnsi="Times New Roman" w:cs="Times New Roman"/>
          <w:color w:val="0000FF"/>
        </w:rPr>
      </w:pPr>
    </w:p>
    <w:p w:rsidR="00C85F4F" w:rsidRPr="00E542BB" w:rsidRDefault="0067783D" w:rsidP="00E542BB">
      <w:p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Prepare a separate table for each plan:</w:t>
      </w:r>
    </w:p>
    <w:p w:rsidR="00C85F4F" w:rsidRPr="00C620DA" w:rsidRDefault="00C85F4F" w:rsidP="00C620DA">
      <w:pPr>
        <w:autoSpaceDE w:val="0"/>
        <w:autoSpaceDN w:val="0"/>
        <w:adjustRightInd w:val="0"/>
        <w:spacing w:after="0" w:line="240" w:lineRule="auto"/>
        <w:jc w:val="both"/>
        <w:rPr>
          <w:rFonts w:ascii="Times New Roman" w:hAnsi="Times New Roman" w:cs="Times New Roman"/>
          <w:color w:val="1F4E79" w:themeColor="accent1" w:themeShade="80"/>
        </w:rPr>
      </w:pPr>
    </w:p>
    <w:p w:rsidR="00C85F4F" w:rsidRPr="00E542BB" w:rsidRDefault="00C85F4F" w:rsidP="00C620DA">
      <w:pPr>
        <w:autoSpaceDE w:val="0"/>
        <w:autoSpaceDN w:val="0"/>
        <w:adjustRightInd w:val="0"/>
        <w:spacing w:after="0" w:line="240" w:lineRule="auto"/>
        <w:jc w:val="both"/>
        <w:rPr>
          <w:rFonts w:ascii="Times New Roman" w:hAnsi="Times New Roman" w:cs="Times New Roman"/>
          <w:i/>
        </w:rPr>
      </w:pPr>
      <w:r w:rsidRPr="00E542BB">
        <w:rPr>
          <w:rFonts w:ascii="Times New Roman" w:hAnsi="Times New Roman" w:cs="Times New Roman"/>
          <w:i/>
        </w:rPr>
        <w:t xml:space="preserve">Deferred outflows of resources of $__________ resulting from </w:t>
      </w:r>
      <w:r w:rsidR="002F204A" w:rsidRPr="00E542BB">
        <w:rPr>
          <w:rFonts w:ascii="Times New Roman" w:hAnsi="Times New Roman" w:cs="Times New Roman"/>
          <w:i/>
        </w:rPr>
        <w:t>contributions</w:t>
      </w:r>
      <w:r w:rsidRPr="00E542BB">
        <w:rPr>
          <w:rFonts w:ascii="Times New Roman" w:hAnsi="Times New Roman" w:cs="Times New Roman"/>
          <w:i/>
        </w:rPr>
        <w:t xml:space="preserve"> subsequent to the measurement date will be recognized as a reduction of the </w:t>
      </w:r>
      <w:r w:rsidR="002F204A" w:rsidRPr="00E542BB">
        <w:rPr>
          <w:rFonts w:ascii="Times New Roman" w:hAnsi="Times New Roman" w:cs="Times New Roman"/>
          <w:i/>
        </w:rPr>
        <w:t>net</w:t>
      </w:r>
      <w:r w:rsidRPr="00E542BB">
        <w:rPr>
          <w:rFonts w:ascii="Times New Roman" w:hAnsi="Times New Roman" w:cs="Times New Roman"/>
          <w:i/>
        </w:rPr>
        <w:t xml:space="preserve"> OPEB liability in the year ended December 31, 2019.  Other amounts reported as deferred outflows and deferred inflows of resources related to OPEB will be recognized in OPEB expense as follows:</w:t>
      </w:r>
    </w:p>
    <w:p w:rsidR="00C85F4F" w:rsidRPr="00E542BB" w:rsidRDefault="00C85F4F" w:rsidP="00C620DA">
      <w:pPr>
        <w:autoSpaceDE w:val="0"/>
        <w:autoSpaceDN w:val="0"/>
        <w:adjustRightInd w:val="0"/>
        <w:spacing w:after="0" w:line="240" w:lineRule="auto"/>
        <w:jc w:val="both"/>
        <w:rPr>
          <w:rFonts w:ascii="Times New Roman" w:hAnsi="Times New Roman" w:cs="Times New Roman"/>
          <w:i/>
        </w:rPr>
      </w:pPr>
    </w:p>
    <w:tbl>
      <w:tblPr>
        <w:tblStyle w:val="TableGrid"/>
        <w:tblW w:w="0" w:type="auto"/>
        <w:tblInd w:w="2718" w:type="dxa"/>
        <w:tblLook w:val="04A0" w:firstRow="1" w:lastRow="0" w:firstColumn="1" w:lastColumn="0" w:noHBand="0" w:noVBand="1"/>
      </w:tblPr>
      <w:tblGrid>
        <w:gridCol w:w="1597"/>
        <w:gridCol w:w="2363"/>
      </w:tblGrid>
      <w:tr w:rsidR="00E542BB" w:rsidRPr="00E542BB" w:rsidTr="00E542BB">
        <w:tc>
          <w:tcPr>
            <w:tcW w:w="1597" w:type="dxa"/>
            <w:shd w:val="clear" w:color="auto" w:fill="D5DCE4" w:themeFill="text2" w:themeFillTint="33"/>
          </w:tcPr>
          <w:p w:rsidR="00C85F4F" w:rsidRPr="00E542BB" w:rsidRDefault="00C85F4F" w:rsidP="00E542BB">
            <w:pPr>
              <w:autoSpaceDE w:val="0"/>
              <w:autoSpaceDN w:val="0"/>
              <w:adjustRightInd w:val="0"/>
              <w:jc w:val="center"/>
              <w:rPr>
                <w:rFonts w:ascii="Times New Roman" w:hAnsi="Times New Roman" w:cs="Times New Roman"/>
                <w:i/>
              </w:rPr>
            </w:pPr>
            <w:r w:rsidRPr="00E542BB">
              <w:rPr>
                <w:rFonts w:ascii="Times New Roman" w:hAnsi="Times New Roman" w:cs="Times New Roman"/>
                <w:i/>
              </w:rPr>
              <w:t>Year ended December 31:</w:t>
            </w:r>
          </w:p>
        </w:tc>
        <w:tc>
          <w:tcPr>
            <w:tcW w:w="2363" w:type="dxa"/>
            <w:shd w:val="clear" w:color="auto" w:fill="D5DCE4" w:themeFill="text2" w:themeFillTint="33"/>
          </w:tcPr>
          <w:p w:rsidR="00C85F4F" w:rsidRPr="00E542BB" w:rsidRDefault="002F204A" w:rsidP="00E542BB">
            <w:pPr>
              <w:autoSpaceDE w:val="0"/>
              <w:autoSpaceDN w:val="0"/>
              <w:adjustRightInd w:val="0"/>
              <w:jc w:val="center"/>
              <w:rPr>
                <w:rFonts w:ascii="Times New Roman" w:hAnsi="Times New Roman" w:cs="Times New Roman"/>
                <w:i/>
              </w:rPr>
            </w:pPr>
            <w:r w:rsidRPr="00E542BB">
              <w:rPr>
                <w:rFonts w:ascii="Times New Roman" w:hAnsi="Times New Roman" w:cs="Times New Roman"/>
                <w:i/>
              </w:rPr>
              <w:t>Plan Name</w:t>
            </w:r>
          </w:p>
        </w:tc>
      </w:tr>
      <w:tr w:rsidR="00E542BB" w:rsidRPr="00E542BB" w:rsidTr="00E542BB">
        <w:tc>
          <w:tcPr>
            <w:tcW w:w="1597" w:type="dxa"/>
          </w:tcPr>
          <w:p w:rsidR="00C85F4F" w:rsidRPr="00E542BB" w:rsidRDefault="00C85F4F"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2019</w:t>
            </w:r>
          </w:p>
        </w:tc>
        <w:tc>
          <w:tcPr>
            <w:tcW w:w="2363" w:type="dxa"/>
          </w:tcPr>
          <w:p w:rsidR="00C85F4F" w:rsidRPr="00E542BB" w:rsidRDefault="00C85F4F"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w:t>
            </w:r>
          </w:p>
        </w:tc>
      </w:tr>
      <w:tr w:rsidR="00E542BB" w:rsidRPr="00E542BB" w:rsidTr="00E542BB">
        <w:tc>
          <w:tcPr>
            <w:tcW w:w="1597" w:type="dxa"/>
          </w:tcPr>
          <w:p w:rsidR="00C85F4F" w:rsidRPr="00E542BB" w:rsidRDefault="00C85F4F"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2020</w:t>
            </w:r>
          </w:p>
        </w:tc>
        <w:tc>
          <w:tcPr>
            <w:tcW w:w="2363" w:type="dxa"/>
          </w:tcPr>
          <w:p w:rsidR="00C85F4F" w:rsidRPr="00E542BB" w:rsidRDefault="00C85F4F"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w:t>
            </w:r>
          </w:p>
        </w:tc>
      </w:tr>
      <w:tr w:rsidR="00E542BB" w:rsidRPr="00E542BB" w:rsidTr="00E542BB">
        <w:tc>
          <w:tcPr>
            <w:tcW w:w="1597" w:type="dxa"/>
          </w:tcPr>
          <w:p w:rsidR="00C85F4F" w:rsidRPr="00E542BB" w:rsidRDefault="00C85F4F"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2021</w:t>
            </w:r>
          </w:p>
        </w:tc>
        <w:tc>
          <w:tcPr>
            <w:tcW w:w="2363" w:type="dxa"/>
          </w:tcPr>
          <w:p w:rsidR="00C85F4F" w:rsidRPr="00E542BB" w:rsidRDefault="00C85F4F"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w:t>
            </w:r>
          </w:p>
        </w:tc>
      </w:tr>
      <w:tr w:rsidR="00E542BB" w:rsidRPr="00E542BB" w:rsidTr="00E542BB">
        <w:tc>
          <w:tcPr>
            <w:tcW w:w="1597" w:type="dxa"/>
          </w:tcPr>
          <w:p w:rsidR="00C85F4F" w:rsidRPr="00E542BB" w:rsidRDefault="00C85F4F"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2022</w:t>
            </w:r>
          </w:p>
        </w:tc>
        <w:tc>
          <w:tcPr>
            <w:tcW w:w="2363" w:type="dxa"/>
          </w:tcPr>
          <w:p w:rsidR="00C85F4F" w:rsidRPr="00E542BB" w:rsidRDefault="00C85F4F"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w:t>
            </w:r>
          </w:p>
        </w:tc>
      </w:tr>
      <w:tr w:rsidR="00E542BB" w:rsidRPr="00E542BB" w:rsidTr="00E542BB">
        <w:tc>
          <w:tcPr>
            <w:tcW w:w="1597" w:type="dxa"/>
          </w:tcPr>
          <w:p w:rsidR="00C85F4F" w:rsidRPr="00E542BB" w:rsidRDefault="00C85F4F"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2023</w:t>
            </w:r>
          </w:p>
        </w:tc>
        <w:tc>
          <w:tcPr>
            <w:tcW w:w="2363" w:type="dxa"/>
          </w:tcPr>
          <w:p w:rsidR="00C85F4F" w:rsidRPr="00E542BB" w:rsidRDefault="00C85F4F"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w:t>
            </w:r>
          </w:p>
        </w:tc>
      </w:tr>
      <w:tr w:rsidR="00E542BB" w:rsidRPr="00E542BB" w:rsidTr="00E542BB">
        <w:tc>
          <w:tcPr>
            <w:tcW w:w="1597" w:type="dxa"/>
          </w:tcPr>
          <w:p w:rsidR="00C85F4F" w:rsidRPr="00E542BB" w:rsidRDefault="00C85F4F"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Thereafter</w:t>
            </w:r>
          </w:p>
        </w:tc>
        <w:tc>
          <w:tcPr>
            <w:tcW w:w="2363" w:type="dxa"/>
          </w:tcPr>
          <w:p w:rsidR="00C85F4F" w:rsidRPr="00E542BB" w:rsidRDefault="00C85F4F" w:rsidP="00C620DA">
            <w:pPr>
              <w:autoSpaceDE w:val="0"/>
              <w:autoSpaceDN w:val="0"/>
              <w:adjustRightInd w:val="0"/>
              <w:jc w:val="both"/>
              <w:rPr>
                <w:rFonts w:ascii="Times New Roman" w:hAnsi="Times New Roman" w:cs="Times New Roman"/>
                <w:i/>
              </w:rPr>
            </w:pPr>
            <w:r w:rsidRPr="00E542BB">
              <w:rPr>
                <w:rFonts w:ascii="Times New Roman" w:hAnsi="Times New Roman" w:cs="Times New Roman"/>
                <w:i/>
              </w:rPr>
              <w:t>$</w:t>
            </w:r>
          </w:p>
        </w:tc>
      </w:tr>
    </w:tbl>
    <w:p w:rsidR="000B155A" w:rsidRDefault="000B155A" w:rsidP="00C620DA">
      <w:pPr>
        <w:autoSpaceDE w:val="0"/>
        <w:autoSpaceDN w:val="0"/>
        <w:adjustRightInd w:val="0"/>
        <w:spacing w:after="0" w:line="240" w:lineRule="auto"/>
        <w:jc w:val="both"/>
        <w:rPr>
          <w:rFonts w:ascii="Times New Roman" w:hAnsi="Times New Roman" w:cs="Times New Roman"/>
          <w:b/>
          <w:color w:val="0000FF"/>
        </w:rPr>
      </w:pPr>
    </w:p>
    <w:p w:rsidR="00E542BB" w:rsidRPr="00E542BB" w:rsidRDefault="00E542BB" w:rsidP="00C620DA">
      <w:pPr>
        <w:autoSpaceDE w:val="0"/>
        <w:autoSpaceDN w:val="0"/>
        <w:adjustRightInd w:val="0"/>
        <w:spacing w:after="0" w:line="240" w:lineRule="auto"/>
        <w:jc w:val="both"/>
        <w:rPr>
          <w:rFonts w:ascii="Times New Roman" w:hAnsi="Times New Roman" w:cs="Times New Roman"/>
          <w:b/>
          <w:color w:val="0000FF"/>
        </w:rPr>
      </w:pPr>
    </w:p>
    <w:p w:rsidR="00C85F4F" w:rsidRPr="00E542BB" w:rsidRDefault="00753099" w:rsidP="00C620DA">
      <w:pPr>
        <w:autoSpaceDE w:val="0"/>
        <w:autoSpaceDN w:val="0"/>
        <w:adjustRightInd w:val="0"/>
        <w:spacing w:after="0" w:line="240" w:lineRule="auto"/>
        <w:jc w:val="both"/>
        <w:rPr>
          <w:rFonts w:ascii="Times New Roman" w:hAnsi="Times New Roman" w:cs="Times New Roman"/>
          <w:b/>
          <w:color w:val="0000FF"/>
        </w:rPr>
      </w:pPr>
      <w:r w:rsidRPr="00E542BB">
        <w:rPr>
          <w:rFonts w:ascii="Times New Roman" w:hAnsi="Times New Roman" w:cs="Times New Roman"/>
          <w:b/>
          <w:color w:val="0000FF"/>
        </w:rPr>
        <w:t xml:space="preserve">The following information is required by GASB Statement 74 for employers who do </w:t>
      </w:r>
      <w:r w:rsidRPr="00E542BB">
        <w:rPr>
          <w:rFonts w:ascii="Times New Roman" w:hAnsi="Times New Roman" w:cs="Times New Roman"/>
          <w:b/>
          <w:color w:val="0000FF"/>
          <w:u w:val="single"/>
        </w:rPr>
        <w:t>not</w:t>
      </w:r>
      <w:r w:rsidRPr="00E542BB">
        <w:rPr>
          <w:rFonts w:ascii="Times New Roman" w:hAnsi="Times New Roman" w:cs="Times New Roman"/>
          <w:b/>
          <w:color w:val="0000FF"/>
        </w:rPr>
        <w:t xml:space="preserve"> issue a separate, stand-alone financial report for the plan.</w:t>
      </w:r>
    </w:p>
    <w:p w:rsidR="000B155A" w:rsidRPr="00E542BB" w:rsidRDefault="000B155A" w:rsidP="00C620DA">
      <w:pPr>
        <w:spacing w:after="0" w:line="240" w:lineRule="auto"/>
        <w:jc w:val="both"/>
        <w:rPr>
          <w:rFonts w:ascii="Times New Roman" w:hAnsi="Times New Roman" w:cs="Times New Roman"/>
          <w:b/>
          <w:color w:val="0000FF"/>
        </w:rPr>
      </w:pPr>
    </w:p>
    <w:p w:rsidR="0067783D" w:rsidRPr="00C620DA" w:rsidRDefault="00753099" w:rsidP="00C620DA">
      <w:pPr>
        <w:spacing w:after="0" w:line="240" w:lineRule="auto"/>
        <w:jc w:val="both"/>
        <w:rPr>
          <w:rFonts w:ascii="Times New Roman" w:hAnsi="Times New Roman" w:cs="Times New Roman"/>
          <w:b/>
        </w:rPr>
      </w:pPr>
      <w:r w:rsidRPr="00C620DA">
        <w:rPr>
          <w:rFonts w:ascii="Times New Roman" w:hAnsi="Times New Roman" w:cs="Times New Roman"/>
          <w:b/>
        </w:rPr>
        <w:t>OPEB Plan Investments</w:t>
      </w:r>
    </w:p>
    <w:p w:rsidR="00753099" w:rsidRPr="00E542BB" w:rsidRDefault="00CC5FEB" w:rsidP="00C620DA">
      <w:pPr>
        <w:pStyle w:val="ListParagraph"/>
        <w:numPr>
          <w:ilvl w:val="0"/>
          <w:numId w:val="3"/>
        </w:num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Investment policies, including:</w:t>
      </w:r>
    </w:p>
    <w:p w:rsidR="0026687B" w:rsidRPr="00E542BB" w:rsidRDefault="0026687B" w:rsidP="00C620DA">
      <w:pPr>
        <w:pStyle w:val="ListParagraph"/>
        <w:numPr>
          <w:ilvl w:val="1"/>
          <w:numId w:val="3"/>
        </w:num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Procedures and authority for establishing and amending investment policy decisions.</w:t>
      </w:r>
    </w:p>
    <w:p w:rsidR="0026687B" w:rsidRPr="00E542BB" w:rsidRDefault="0026687B" w:rsidP="00C620DA">
      <w:pPr>
        <w:pStyle w:val="ListParagraph"/>
        <w:numPr>
          <w:ilvl w:val="1"/>
          <w:numId w:val="3"/>
        </w:num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Policies pertaining to asset allocation.</w:t>
      </w:r>
    </w:p>
    <w:p w:rsidR="0026687B" w:rsidRPr="00E542BB" w:rsidRDefault="0026687B" w:rsidP="00C620DA">
      <w:pPr>
        <w:pStyle w:val="ListParagraph"/>
        <w:numPr>
          <w:ilvl w:val="1"/>
          <w:numId w:val="3"/>
        </w:num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Description of significant investment policy changes during the reporting period.</w:t>
      </w:r>
    </w:p>
    <w:p w:rsidR="00CC5FEB" w:rsidRPr="00E542BB" w:rsidRDefault="00CC5FEB" w:rsidP="00C620DA">
      <w:pPr>
        <w:pStyle w:val="ListParagraph"/>
        <w:numPr>
          <w:ilvl w:val="0"/>
          <w:numId w:val="3"/>
        </w:num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Identification of investments (other than those issued or explicitly guaranteed by the U.S. government) in any one organization that represents 5</w:t>
      </w:r>
      <w:r w:rsidR="00E542BB">
        <w:rPr>
          <w:rFonts w:ascii="Times New Roman" w:hAnsi="Times New Roman" w:cs="Times New Roman"/>
          <w:color w:val="0000FF"/>
        </w:rPr>
        <w:t xml:space="preserve"> percent</w:t>
      </w:r>
      <w:r w:rsidRPr="00E542BB">
        <w:rPr>
          <w:rFonts w:ascii="Times New Roman" w:hAnsi="Times New Roman" w:cs="Times New Roman"/>
          <w:color w:val="0000FF"/>
        </w:rPr>
        <w:t xml:space="preserve"> or more of the OPEB plan’s fiduciary net position.</w:t>
      </w:r>
    </w:p>
    <w:p w:rsidR="00CC5FEB" w:rsidRPr="00E542BB" w:rsidRDefault="00CC5FEB" w:rsidP="00C620DA">
      <w:pPr>
        <w:pStyle w:val="ListParagraph"/>
        <w:numPr>
          <w:ilvl w:val="0"/>
          <w:numId w:val="3"/>
        </w:num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The annual money-weighted rate of return o</w:t>
      </w:r>
      <w:r w:rsidR="0026687B" w:rsidRPr="00E542BB">
        <w:rPr>
          <w:rFonts w:ascii="Times New Roman" w:hAnsi="Times New Roman" w:cs="Times New Roman"/>
          <w:color w:val="0000FF"/>
        </w:rPr>
        <w:t>n</w:t>
      </w:r>
      <w:r w:rsidRPr="00E542BB">
        <w:rPr>
          <w:rFonts w:ascii="Times New Roman" w:hAnsi="Times New Roman" w:cs="Times New Roman"/>
          <w:color w:val="0000FF"/>
        </w:rPr>
        <w:t xml:space="preserve"> OPEB plan investments, net of OPEB plan investment expense, and an explanation </w:t>
      </w:r>
      <w:r w:rsidR="0026687B" w:rsidRPr="00E542BB">
        <w:rPr>
          <w:rFonts w:ascii="Times New Roman" w:hAnsi="Times New Roman" w:cs="Times New Roman"/>
          <w:color w:val="0000FF"/>
        </w:rPr>
        <w:t>that a money-weighted rate of return expresses investment performance, net of OPEB plan investment expense, adjusted for the changing amounts actually invested.  OPEB plan investment expense should be measured on the accrual basis of accounting.  Inputs to the internal rate of return calculation should be determined at least monthly.  The use of more frequently determined inputs is encouraged.</w:t>
      </w:r>
    </w:p>
    <w:p w:rsidR="00E542BB" w:rsidRDefault="00E542BB" w:rsidP="00C620DA">
      <w:pPr>
        <w:spacing w:after="0" w:line="240" w:lineRule="auto"/>
        <w:jc w:val="both"/>
        <w:rPr>
          <w:rFonts w:ascii="Times New Roman" w:hAnsi="Times New Roman" w:cs="Times New Roman"/>
          <w:b/>
        </w:rPr>
      </w:pPr>
    </w:p>
    <w:p w:rsidR="0026687B" w:rsidRPr="00C620DA" w:rsidRDefault="0026687B" w:rsidP="00C620DA">
      <w:pPr>
        <w:spacing w:after="0" w:line="240" w:lineRule="auto"/>
        <w:jc w:val="both"/>
        <w:rPr>
          <w:rFonts w:ascii="Times New Roman" w:hAnsi="Times New Roman" w:cs="Times New Roman"/>
          <w:b/>
        </w:rPr>
      </w:pPr>
      <w:r w:rsidRPr="00C620DA">
        <w:rPr>
          <w:rFonts w:ascii="Times New Roman" w:hAnsi="Times New Roman" w:cs="Times New Roman"/>
          <w:b/>
        </w:rPr>
        <w:t>Receivables</w:t>
      </w:r>
    </w:p>
    <w:p w:rsidR="00AF38B6" w:rsidRPr="00E542BB" w:rsidRDefault="0026687B" w:rsidP="00C620DA">
      <w:p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The terms of any long-term contracts for contributions to the OPEB plan between an employer or nonemployer contributing entity and the OPEB plan, and the balances outstanding on any such long-term contracts at the end of the OPEB plan’s reporting period.</w:t>
      </w:r>
    </w:p>
    <w:p w:rsidR="00E542BB" w:rsidRDefault="00E542BB" w:rsidP="00C620DA">
      <w:pPr>
        <w:spacing w:after="0" w:line="240" w:lineRule="auto"/>
        <w:jc w:val="both"/>
        <w:rPr>
          <w:rFonts w:ascii="Times New Roman" w:hAnsi="Times New Roman" w:cs="Times New Roman"/>
          <w:b/>
        </w:rPr>
      </w:pPr>
    </w:p>
    <w:p w:rsidR="00AF38B6" w:rsidRPr="00C620DA" w:rsidRDefault="00AF38B6" w:rsidP="00C620DA">
      <w:pPr>
        <w:spacing w:after="0" w:line="240" w:lineRule="auto"/>
        <w:jc w:val="both"/>
        <w:rPr>
          <w:rFonts w:ascii="Times New Roman" w:hAnsi="Times New Roman" w:cs="Times New Roman"/>
          <w:b/>
        </w:rPr>
      </w:pPr>
      <w:r w:rsidRPr="00C620DA">
        <w:rPr>
          <w:rFonts w:ascii="Times New Roman" w:hAnsi="Times New Roman" w:cs="Times New Roman"/>
          <w:b/>
        </w:rPr>
        <w:t>Reserves</w:t>
      </w:r>
    </w:p>
    <w:p w:rsidR="00AF38B6" w:rsidRPr="00E542BB" w:rsidRDefault="00AF38B6" w:rsidP="00C620DA">
      <w:p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In circumstances in which there is a policy of setting aside, for purposes such as benefit increases or reduced employer contributions, a portion of the OPEB plan’s fiduciary net position that otherwise would be available for existing OPEB or for OPEB plan administration:</w:t>
      </w:r>
    </w:p>
    <w:p w:rsidR="00AF38B6" w:rsidRPr="00E542BB" w:rsidRDefault="00AF38B6" w:rsidP="00C620DA">
      <w:pPr>
        <w:pStyle w:val="ListParagraph"/>
        <w:numPr>
          <w:ilvl w:val="0"/>
          <w:numId w:val="6"/>
        </w:num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A description of the policy related to such reserves</w:t>
      </w:r>
    </w:p>
    <w:p w:rsidR="00AF38B6" w:rsidRPr="00E542BB" w:rsidRDefault="00AF38B6" w:rsidP="00C620DA">
      <w:pPr>
        <w:pStyle w:val="ListParagraph"/>
        <w:numPr>
          <w:ilvl w:val="0"/>
          <w:numId w:val="6"/>
        </w:num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The authority under which the policy was established and may be amended</w:t>
      </w:r>
    </w:p>
    <w:p w:rsidR="00AF38B6" w:rsidRPr="00E542BB" w:rsidRDefault="00AF38B6" w:rsidP="00C620DA">
      <w:pPr>
        <w:pStyle w:val="ListParagraph"/>
        <w:numPr>
          <w:ilvl w:val="0"/>
          <w:numId w:val="6"/>
        </w:num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The purposes for and conditions under which the reserves are required or permitted to be used</w:t>
      </w:r>
    </w:p>
    <w:p w:rsidR="00AF38B6" w:rsidRPr="00E542BB" w:rsidRDefault="00AF38B6" w:rsidP="00C620DA">
      <w:pPr>
        <w:pStyle w:val="ListParagraph"/>
        <w:numPr>
          <w:ilvl w:val="0"/>
          <w:numId w:val="6"/>
        </w:num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The balances of the reserves.</w:t>
      </w:r>
    </w:p>
    <w:p w:rsidR="0067783D" w:rsidRPr="00E542BB" w:rsidRDefault="0067783D" w:rsidP="00C620DA">
      <w:pPr>
        <w:spacing w:after="0" w:line="240" w:lineRule="auto"/>
        <w:jc w:val="both"/>
        <w:rPr>
          <w:rFonts w:ascii="Times New Roman" w:hAnsi="Times New Roman" w:cs="Times New Roman"/>
          <w:color w:val="0000FF"/>
        </w:rPr>
      </w:pPr>
    </w:p>
    <w:p w:rsidR="00610929" w:rsidRPr="00E542BB" w:rsidRDefault="00610929" w:rsidP="00C620DA">
      <w:pPr>
        <w:spacing w:after="0" w:line="240" w:lineRule="auto"/>
        <w:jc w:val="both"/>
        <w:rPr>
          <w:rFonts w:ascii="Times New Roman" w:hAnsi="Times New Roman" w:cs="Times New Roman"/>
          <w:color w:val="0000FF"/>
        </w:rPr>
      </w:pPr>
    </w:p>
    <w:p w:rsidR="00E542BB" w:rsidRDefault="00E542BB" w:rsidP="00E542BB">
      <w:pPr>
        <w:spacing w:after="0" w:line="240" w:lineRule="auto"/>
        <w:rPr>
          <w:rFonts w:ascii="Times New Roman" w:hAnsi="Times New Roman" w:cs="Times New Roman"/>
          <w:color w:val="0000FF"/>
        </w:rPr>
      </w:pPr>
      <w:r w:rsidRPr="00F40B6B">
        <w:rPr>
          <w:rFonts w:ascii="Times New Roman" w:hAnsi="Times New Roman" w:cs="Times New Roman"/>
          <w:color w:val="0000FF"/>
          <w:u w:val="single"/>
        </w:rPr>
        <w:t>INSTRUCTIONS TO PREPARER</w:t>
      </w:r>
      <w:r w:rsidRPr="00530148">
        <w:rPr>
          <w:rFonts w:ascii="Times New Roman" w:hAnsi="Times New Roman" w:cs="Times New Roman"/>
          <w:color w:val="0000FF"/>
        </w:rPr>
        <w:t>:</w:t>
      </w:r>
      <w:r>
        <w:rPr>
          <w:rFonts w:ascii="Times New Roman" w:hAnsi="Times New Roman" w:cs="Times New Roman"/>
          <w:color w:val="0000FF"/>
        </w:rPr>
        <w:t xml:space="preserve">  The following information should be included in the city/county/district’s RSI section of financial statements.</w:t>
      </w:r>
    </w:p>
    <w:p w:rsidR="00E542BB" w:rsidRPr="0048021A" w:rsidRDefault="00E542BB" w:rsidP="00E542BB">
      <w:pPr>
        <w:spacing w:after="0" w:line="240" w:lineRule="auto"/>
        <w:rPr>
          <w:rFonts w:ascii="Times New Roman" w:hAnsi="Times New Roman" w:cs="Times New Roman"/>
        </w:rPr>
      </w:pPr>
    </w:p>
    <w:p w:rsidR="00E542BB" w:rsidRPr="00C31D88" w:rsidRDefault="00E542BB" w:rsidP="00E542BB">
      <w:pPr>
        <w:spacing w:after="0" w:line="240" w:lineRule="auto"/>
        <w:jc w:val="center"/>
        <w:rPr>
          <w:rFonts w:ascii="Times New Roman" w:hAnsi="Times New Roman" w:cs="Times New Roman"/>
          <w:b/>
        </w:rPr>
      </w:pPr>
      <w:r w:rsidRPr="00C31D88">
        <w:rPr>
          <w:rFonts w:ascii="Times New Roman" w:hAnsi="Times New Roman" w:cs="Times New Roman"/>
          <w:b/>
        </w:rPr>
        <w:t>Required Supplementary Information</w:t>
      </w:r>
    </w:p>
    <w:p w:rsidR="00E542BB" w:rsidRDefault="00E542BB" w:rsidP="00E542BB">
      <w:pPr>
        <w:spacing w:after="0" w:line="240" w:lineRule="auto"/>
        <w:jc w:val="both"/>
        <w:rPr>
          <w:rFonts w:ascii="Times New Roman" w:hAnsi="Times New Roman" w:cs="Times New Roman"/>
        </w:rPr>
      </w:pPr>
    </w:p>
    <w:p w:rsidR="002E2CD3" w:rsidRPr="00E542BB" w:rsidRDefault="002E2CD3" w:rsidP="00C620DA">
      <w:p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The required supplementary information identiﬁed in subparagraphs (a)</w:t>
      </w:r>
      <w:r w:rsidR="00E542BB" w:rsidRPr="00E542BB">
        <w:rPr>
          <w:rFonts w:ascii="Times New Roman" w:hAnsi="Times New Roman" w:cs="Times New Roman"/>
          <w:color w:val="0000FF"/>
        </w:rPr>
        <w:t>-</w:t>
      </w:r>
      <w:r w:rsidRPr="00E542BB">
        <w:rPr>
          <w:rFonts w:ascii="Times New Roman" w:hAnsi="Times New Roman" w:cs="Times New Roman"/>
          <w:color w:val="0000FF"/>
        </w:rPr>
        <w:t>(d),</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as</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applicable,</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u w:val="single"/>
        </w:rPr>
        <w:t>should</w:t>
      </w:r>
      <w:r w:rsidR="002363DB" w:rsidRPr="00E542BB">
        <w:rPr>
          <w:rFonts w:ascii="Times New Roman" w:hAnsi="Times New Roman" w:cs="Times New Roman"/>
          <w:color w:val="0000FF"/>
          <w:u w:val="single"/>
        </w:rPr>
        <w:t xml:space="preserve"> </w:t>
      </w:r>
      <w:r w:rsidRPr="00E542BB">
        <w:rPr>
          <w:rFonts w:ascii="Times New Roman" w:hAnsi="Times New Roman" w:cs="Times New Roman"/>
          <w:color w:val="0000FF"/>
          <w:u w:val="single"/>
        </w:rPr>
        <w:t>be</w:t>
      </w:r>
      <w:r w:rsidR="002363DB" w:rsidRPr="00E542BB">
        <w:rPr>
          <w:rFonts w:ascii="Times New Roman" w:hAnsi="Times New Roman" w:cs="Times New Roman"/>
          <w:color w:val="0000FF"/>
          <w:u w:val="single"/>
        </w:rPr>
        <w:t xml:space="preserve"> </w:t>
      </w:r>
      <w:r w:rsidRPr="00E542BB">
        <w:rPr>
          <w:rFonts w:ascii="Times New Roman" w:hAnsi="Times New Roman" w:cs="Times New Roman"/>
          <w:color w:val="0000FF"/>
          <w:u w:val="single"/>
        </w:rPr>
        <w:t>presented</w:t>
      </w:r>
      <w:r w:rsidR="002363DB" w:rsidRPr="00E542BB">
        <w:rPr>
          <w:rFonts w:ascii="Times New Roman" w:hAnsi="Times New Roman" w:cs="Times New Roman"/>
          <w:color w:val="0000FF"/>
          <w:u w:val="single"/>
        </w:rPr>
        <w:t xml:space="preserve"> </w:t>
      </w:r>
      <w:r w:rsidRPr="00E542BB">
        <w:rPr>
          <w:rFonts w:ascii="Times New Roman" w:hAnsi="Times New Roman" w:cs="Times New Roman"/>
          <w:color w:val="0000FF"/>
          <w:u w:val="single"/>
        </w:rPr>
        <w:t>separately</w:t>
      </w:r>
      <w:r w:rsidR="002363DB" w:rsidRPr="00E542BB">
        <w:rPr>
          <w:rFonts w:ascii="Times New Roman" w:hAnsi="Times New Roman" w:cs="Times New Roman"/>
          <w:color w:val="0000FF"/>
          <w:u w:val="single"/>
        </w:rPr>
        <w:t xml:space="preserve"> </w:t>
      </w:r>
      <w:r w:rsidRPr="00E542BB">
        <w:rPr>
          <w:rFonts w:ascii="Times New Roman" w:hAnsi="Times New Roman" w:cs="Times New Roman"/>
          <w:color w:val="0000FF"/>
          <w:u w:val="single"/>
        </w:rPr>
        <w:t>for</w:t>
      </w:r>
      <w:r w:rsidR="002363DB" w:rsidRPr="00E542BB">
        <w:rPr>
          <w:rFonts w:ascii="Times New Roman" w:hAnsi="Times New Roman" w:cs="Times New Roman"/>
          <w:color w:val="0000FF"/>
          <w:u w:val="single"/>
        </w:rPr>
        <w:t xml:space="preserve"> </w:t>
      </w:r>
      <w:r w:rsidRPr="00E542BB">
        <w:rPr>
          <w:rFonts w:ascii="Times New Roman" w:hAnsi="Times New Roman" w:cs="Times New Roman"/>
          <w:color w:val="0000FF"/>
          <w:u w:val="single"/>
        </w:rPr>
        <w:t>each</w:t>
      </w:r>
      <w:r w:rsidR="002363DB" w:rsidRPr="00E542BB">
        <w:rPr>
          <w:rFonts w:ascii="Times New Roman" w:hAnsi="Times New Roman" w:cs="Times New Roman"/>
          <w:color w:val="0000FF"/>
          <w:u w:val="single"/>
        </w:rPr>
        <w:t xml:space="preserve"> </w:t>
      </w:r>
      <w:r w:rsidRPr="00E542BB">
        <w:rPr>
          <w:rFonts w:ascii="Times New Roman" w:hAnsi="Times New Roman" w:cs="Times New Roman"/>
          <w:color w:val="0000FF"/>
          <w:u w:val="single"/>
        </w:rPr>
        <w:t>single-employer and agent OPEB plan</w:t>
      </w:r>
      <w:r w:rsidRPr="00E542BB">
        <w:rPr>
          <w:rFonts w:ascii="Times New Roman" w:hAnsi="Times New Roman" w:cs="Times New Roman"/>
          <w:color w:val="0000FF"/>
        </w:rPr>
        <w:t xml:space="preserve"> through which OPEB is provided. </w:t>
      </w:r>
      <w:r w:rsidR="00E542BB" w:rsidRPr="00E542BB">
        <w:rPr>
          <w:rFonts w:ascii="Times New Roman" w:hAnsi="Times New Roman" w:cs="Times New Roman"/>
          <w:color w:val="0000FF"/>
        </w:rPr>
        <w:t xml:space="preserve"> </w:t>
      </w:r>
      <w:r w:rsidRPr="00E542BB">
        <w:rPr>
          <w:rFonts w:ascii="Times New Roman" w:hAnsi="Times New Roman" w:cs="Times New Roman"/>
          <w:color w:val="0000FF"/>
        </w:rPr>
        <w:t xml:space="preserve">The information indicated in subparagraphs (a) and (b) should be determined as of the measurement date of the net OPEB liability and may be presented in a single schedule. </w:t>
      </w:r>
      <w:r w:rsidR="00E542BB" w:rsidRPr="00E542BB">
        <w:rPr>
          <w:rFonts w:ascii="Times New Roman" w:hAnsi="Times New Roman" w:cs="Times New Roman"/>
          <w:color w:val="0000FF"/>
        </w:rPr>
        <w:t xml:space="preserve"> </w:t>
      </w:r>
      <w:r w:rsidRPr="00E542BB">
        <w:rPr>
          <w:rFonts w:ascii="Times New Roman" w:hAnsi="Times New Roman" w:cs="Times New Roman"/>
          <w:color w:val="0000FF"/>
        </w:rPr>
        <w:t>The information in subparagraphs (c) and (d) should be determined as of the employer’s most recent ﬁscal year-end. If a primary government and one or more of its component units provide OPEB through the same single</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employer or agent OPEB plan, required supplementary information in the reporting</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entity’s</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ﬁnancial</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statements</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should</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present</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information</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for</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all</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beneﬁts provided by the reporting entity through the single-employer or agent OPEB plan.</w:t>
      </w:r>
    </w:p>
    <w:p w:rsidR="00E542BB" w:rsidRPr="00C620DA" w:rsidRDefault="00E542BB" w:rsidP="00C620DA">
      <w:pPr>
        <w:spacing w:after="0" w:line="240" w:lineRule="auto"/>
        <w:jc w:val="both"/>
        <w:rPr>
          <w:rFonts w:ascii="Times New Roman" w:hAnsi="Times New Roman" w:cs="Times New Roman"/>
        </w:rPr>
      </w:pPr>
    </w:p>
    <w:p w:rsidR="00E542BB" w:rsidRDefault="00BD7F95" w:rsidP="00E542BB">
      <w:pPr>
        <w:spacing w:after="0" w:line="240" w:lineRule="auto"/>
        <w:jc w:val="both"/>
        <w:rPr>
          <w:rFonts w:ascii="Times New Roman" w:hAnsi="Times New Roman" w:cs="Times New Roman"/>
        </w:rPr>
      </w:pPr>
      <w:r w:rsidRPr="00C620DA">
        <w:rPr>
          <w:rFonts w:ascii="Times New Roman" w:hAnsi="Times New Roman" w:cs="Times New Roman"/>
          <w:b/>
        </w:rPr>
        <w:t>Schedule of Changes in Net OPEB Liability and Related Ratios</w:t>
      </w:r>
      <w:r w:rsidR="00E542BB">
        <w:rPr>
          <w:rFonts w:ascii="Times New Roman" w:hAnsi="Times New Roman" w:cs="Times New Roman"/>
          <w:b/>
        </w:rPr>
        <w:t xml:space="preserve"> </w:t>
      </w:r>
      <w:r w:rsidR="00E542BB" w:rsidRPr="009F3C7A">
        <w:rPr>
          <w:rFonts w:ascii="Times New Roman" w:hAnsi="Times New Roman" w:cs="Times New Roman"/>
        </w:rPr>
        <w:t>(</w:t>
      </w:r>
      <w:r w:rsidR="00E542BB">
        <w:rPr>
          <w:rFonts w:ascii="Times New Roman" w:hAnsi="Times New Roman" w:cs="Times New Roman"/>
        </w:rPr>
        <w:t xml:space="preserve">You may access </w:t>
      </w:r>
      <w:hyperlink r:id="rId7" w:history="1">
        <w:r w:rsidR="00E542BB" w:rsidRPr="00A27EF6">
          <w:rPr>
            <w:rStyle w:val="Hyperlink"/>
            <w:rFonts w:ascii="Times New Roman" w:hAnsi="Times New Roman" w:cs="Times New Roman"/>
          </w:rPr>
          <w:t>here</w:t>
        </w:r>
      </w:hyperlink>
      <w:r w:rsidR="00E542BB">
        <w:rPr>
          <w:rFonts w:ascii="Times New Roman" w:hAnsi="Times New Roman" w:cs="Times New Roman"/>
        </w:rPr>
        <w:t xml:space="preserve"> the supporting spreadsheet.)</w:t>
      </w:r>
    </w:p>
    <w:p w:rsidR="00A27EF6" w:rsidRDefault="00A27EF6" w:rsidP="00E542BB">
      <w:pPr>
        <w:spacing w:after="0" w:line="240" w:lineRule="auto"/>
        <w:jc w:val="both"/>
        <w:rPr>
          <w:rFonts w:ascii="Times New Roman" w:hAnsi="Times New Roman" w:cs="Times New Roman"/>
          <w:b/>
        </w:rPr>
      </w:pPr>
    </w:p>
    <w:p w:rsidR="002363DB" w:rsidRPr="00E542BB" w:rsidRDefault="002E2CD3" w:rsidP="00C620DA">
      <w:pPr>
        <w:spacing w:after="0" w:line="240" w:lineRule="auto"/>
        <w:jc w:val="both"/>
        <w:rPr>
          <w:rFonts w:ascii="Times New Roman" w:hAnsi="Times New Roman" w:cs="Times New Roman"/>
          <w:color w:val="0000FF"/>
        </w:rPr>
      </w:pPr>
      <w:r w:rsidRPr="00E542BB">
        <w:rPr>
          <w:rFonts w:ascii="Times New Roman" w:hAnsi="Times New Roman" w:cs="Times New Roman"/>
          <w:b/>
          <w:color w:val="0000FF"/>
        </w:rPr>
        <w:t>a.</w:t>
      </w:r>
      <w:r w:rsidRPr="00E542BB">
        <w:rPr>
          <w:rFonts w:ascii="Times New Roman" w:hAnsi="Times New Roman" w:cs="Times New Roman"/>
          <w:color w:val="0000FF"/>
        </w:rPr>
        <w:t xml:space="preserve"> A 10-year schedule of changes in the net OPEB liability that separ</w:t>
      </w:r>
      <w:bookmarkStart w:id="0" w:name="_GoBack"/>
      <w:bookmarkEnd w:id="0"/>
      <w:r w:rsidRPr="00E542BB">
        <w:rPr>
          <w:rFonts w:ascii="Times New Roman" w:hAnsi="Times New Roman" w:cs="Times New Roman"/>
          <w:color w:val="0000FF"/>
        </w:rPr>
        <w:t>ately presents the information required for each year.</w:t>
      </w:r>
    </w:p>
    <w:p w:rsidR="002363DB" w:rsidRPr="00E542BB" w:rsidRDefault="002E2CD3" w:rsidP="00C620DA">
      <w:pPr>
        <w:spacing w:after="0" w:line="240" w:lineRule="auto"/>
        <w:jc w:val="both"/>
        <w:rPr>
          <w:rFonts w:ascii="Times New Roman" w:hAnsi="Times New Roman" w:cs="Times New Roman"/>
          <w:color w:val="0000FF"/>
        </w:rPr>
      </w:pPr>
      <w:r w:rsidRPr="00E542BB">
        <w:rPr>
          <w:rFonts w:ascii="Times New Roman" w:hAnsi="Times New Roman" w:cs="Times New Roman"/>
          <w:b/>
          <w:color w:val="0000FF"/>
        </w:rPr>
        <w:t>b.</w:t>
      </w:r>
      <w:r w:rsidRPr="00E542BB">
        <w:rPr>
          <w:rFonts w:ascii="Times New Roman" w:hAnsi="Times New Roman" w:cs="Times New Roman"/>
          <w:color w:val="0000FF"/>
        </w:rPr>
        <w:t xml:space="preserve"> A 10-year schedule presenting the following for each year:</w:t>
      </w:r>
    </w:p>
    <w:p w:rsidR="002363DB" w:rsidRPr="00E542BB" w:rsidRDefault="002E2CD3" w:rsidP="00C620DA">
      <w:pPr>
        <w:spacing w:after="0" w:line="240" w:lineRule="auto"/>
        <w:ind w:firstLine="720"/>
        <w:jc w:val="both"/>
        <w:rPr>
          <w:rFonts w:ascii="Times New Roman" w:hAnsi="Times New Roman" w:cs="Times New Roman"/>
          <w:color w:val="0000FF"/>
        </w:rPr>
      </w:pPr>
      <w:r w:rsidRPr="00E542BB">
        <w:rPr>
          <w:rFonts w:ascii="Times New Roman" w:hAnsi="Times New Roman" w:cs="Times New Roman"/>
          <w:color w:val="0000FF"/>
        </w:rPr>
        <w:t>(a) The total OPEB liability</w:t>
      </w:r>
    </w:p>
    <w:p w:rsidR="002363DB" w:rsidRPr="00E542BB" w:rsidRDefault="002E2CD3" w:rsidP="00C620DA">
      <w:pPr>
        <w:spacing w:after="0" w:line="240" w:lineRule="auto"/>
        <w:ind w:firstLine="720"/>
        <w:jc w:val="both"/>
        <w:rPr>
          <w:rFonts w:ascii="Times New Roman" w:hAnsi="Times New Roman" w:cs="Times New Roman"/>
          <w:color w:val="0000FF"/>
        </w:rPr>
      </w:pPr>
      <w:r w:rsidRPr="00E542BB">
        <w:rPr>
          <w:rFonts w:ascii="Times New Roman" w:hAnsi="Times New Roman" w:cs="Times New Roman"/>
          <w:color w:val="0000FF"/>
        </w:rPr>
        <w:t>(b) The OPEB plan’s ﬁduciary net position</w:t>
      </w:r>
    </w:p>
    <w:p w:rsidR="002363DB" w:rsidRPr="00E542BB" w:rsidRDefault="002E2CD3" w:rsidP="00C620DA">
      <w:pPr>
        <w:spacing w:after="0" w:line="240" w:lineRule="auto"/>
        <w:ind w:firstLine="720"/>
        <w:jc w:val="both"/>
        <w:rPr>
          <w:rFonts w:ascii="Times New Roman" w:hAnsi="Times New Roman" w:cs="Times New Roman"/>
          <w:color w:val="0000FF"/>
        </w:rPr>
      </w:pPr>
      <w:r w:rsidRPr="00E542BB">
        <w:rPr>
          <w:rFonts w:ascii="Times New Roman" w:hAnsi="Times New Roman" w:cs="Times New Roman"/>
          <w:color w:val="0000FF"/>
        </w:rPr>
        <w:t>(c) The net OPEB liability</w:t>
      </w:r>
    </w:p>
    <w:p w:rsidR="002363DB" w:rsidRPr="00E542BB" w:rsidRDefault="002E2CD3" w:rsidP="00C620DA">
      <w:pPr>
        <w:spacing w:after="0" w:line="240" w:lineRule="auto"/>
        <w:ind w:firstLine="720"/>
        <w:jc w:val="both"/>
        <w:rPr>
          <w:rFonts w:ascii="Times New Roman" w:hAnsi="Times New Roman" w:cs="Times New Roman"/>
          <w:color w:val="0000FF"/>
        </w:rPr>
      </w:pPr>
      <w:r w:rsidRPr="00E542BB">
        <w:rPr>
          <w:rFonts w:ascii="Times New Roman" w:hAnsi="Times New Roman" w:cs="Times New Roman"/>
          <w:color w:val="0000FF"/>
        </w:rPr>
        <w:t>(d) The OPEB plan’s ﬁduciary net position as a percentage of the total OPEB liability</w:t>
      </w:r>
    </w:p>
    <w:p w:rsidR="002363DB" w:rsidRPr="00E542BB" w:rsidRDefault="002E2CD3" w:rsidP="00C620DA">
      <w:pPr>
        <w:spacing w:after="0" w:line="240" w:lineRule="auto"/>
        <w:ind w:left="720"/>
        <w:jc w:val="both"/>
        <w:rPr>
          <w:rFonts w:ascii="Times New Roman" w:hAnsi="Times New Roman" w:cs="Times New Roman"/>
          <w:color w:val="0000FF"/>
        </w:rPr>
      </w:pPr>
      <w:r w:rsidRPr="00E542BB">
        <w:rPr>
          <w:rFonts w:ascii="Times New Roman" w:hAnsi="Times New Roman" w:cs="Times New Roman"/>
          <w:color w:val="0000FF"/>
        </w:rPr>
        <w:t>(e) The covered-employee payroll</w:t>
      </w:r>
      <w:r w:rsidR="00E542BB">
        <w:rPr>
          <w:rFonts w:ascii="Times New Roman" w:hAnsi="Times New Roman" w:cs="Times New Roman"/>
          <w:color w:val="0000FF"/>
        </w:rPr>
        <w:t xml:space="preserve">.  </w:t>
      </w:r>
      <w:r w:rsidR="00B70F1E" w:rsidRPr="00E542BB">
        <w:rPr>
          <w:rFonts w:ascii="Times New Roman" w:hAnsi="Times New Roman" w:cs="Times New Roman"/>
          <w:color w:val="0000FF"/>
        </w:rPr>
        <w:t xml:space="preserve">Unlike pension RSI, which uses covered payroll (the payroll on which contributions to a plan are based), this schedule requires </w:t>
      </w:r>
      <w:r w:rsidR="00B70F1E" w:rsidRPr="00E542BB">
        <w:rPr>
          <w:rFonts w:ascii="Times New Roman" w:hAnsi="Times New Roman" w:cs="Times New Roman"/>
          <w:color w:val="0000FF"/>
          <w:u w:val="single"/>
        </w:rPr>
        <w:t>covered-employee payroll</w:t>
      </w:r>
      <w:r w:rsidR="00B70F1E" w:rsidRPr="00E542BB">
        <w:rPr>
          <w:rFonts w:ascii="Times New Roman" w:hAnsi="Times New Roman" w:cs="Times New Roman"/>
          <w:color w:val="0000FF"/>
        </w:rPr>
        <w:t xml:space="preserve"> </w:t>
      </w:r>
      <w:r w:rsidR="00E542BB">
        <w:rPr>
          <w:rFonts w:ascii="Times New Roman" w:hAnsi="Times New Roman" w:cs="Times New Roman"/>
          <w:color w:val="0000FF"/>
        </w:rPr>
        <w:t>–</w:t>
      </w:r>
      <w:r w:rsidR="00B70F1E" w:rsidRPr="00E542BB">
        <w:rPr>
          <w:rFonts w:ascii="Times New Roman" w:hAnsi="Times New Roman" w:cs="Times New Roman"/>
          <w:color w:val="0000FF"/>
        </w:rPr>
        <w:t xml:space="preserve"> the payroll of employees that are provided with OPEB through the OPEB plan.</w:t>
      </w:r>
    </w:p>
    <w:p w:rsidR="002363DB" w:rsidRPr="00E542BB" w:rsidRDefault="002E2CD3" w:rsidP="00C620DA">
      <w:pPr>
        <w:spacing w:after="0" w:line="240" w:lineRule="auto"/>
        <w:ind w:firstLine="720"/>
        <w:jc w:val="both"/>
        <w:rPr>
          <w:rFonts w:ascii="Times New Roman" w:hAnsi="Times New Roman" w:cs="Times New Roman"/>
          <w:color w:val="0000FF"/>
        </w:rPr>
      </w:pPr>
      <w:r w:rsidRPr="00E542BB">
        <w:rPr>
          <w:rFonts w:ascii="Times New Roman" w:hAnsi="Times New Roman" w:cs="Times New Roman"/>
          <w:color w:val="0000FF"/>
        </w:rPr>
        <w:t>(f) The</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net</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OPEB</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liability</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as</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a</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percentage</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of</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covered-employee</w:t>
      </w:r>
      <w:r w:rsidR="002363DB" w:rsidRPr="00E542BB">
        <w:rPr>
          <w:rFonts w:ascii="Times New Roman" w:hAnsi="Times New Roman" w:cs="Times New Roman"/>
          <w:color w:val="0000FF"/>
        </w:rPr>
        <w:t xml:space="preserve"> </w:t>
      </w:r>
      <w:r w:rsidRPr="00E542BB">
        <w:rPr>
          <w:rFonts w:ascii="Times New Roman" w:hAnsi="Times New Roman" w:cs="Times New Roman"/>
          <w:color w:val="0000FF"/>
        </w:rPr>
        <w:t>payroll.</w:t>
      </w:r>
    </w:p>
    <w:p w:rsidR="00E542BB" w:rsidRDefault="00E542BB" w:rsidP="00C620DA">
      <w:pPr>
        <w:spacing w:after="0" w:line="240" w:lineRule="auto"/>
        <w:jc w:val="both"/>
        <w:rPr>
          <w:rFonts w:ascii="Times New Roman" w:hAnsi="Times New Roman" w:cs="Times New Roman"/>
          <w:b/>
        </w:rPr>
      </w:pPr>
    </w:p>
    <w:p w:rsidR="00BD7F95" w:rsidRPr="00C620DA" w:rsidRDefault="00BD7F95" w:rsidP="00C620DA">
      <w:pPr>
        <w:spacing w:after="0" w:line="240" w:lineRule="auto"/>
        <w:jc w:val="both"/>
        <w:rPr>
          <w:rFonts w:ascii="Times New Roman" w:hAnsi="Times New Roman" w:cs="Times New Roman"/>
          <w:b/>
        </w:rPr>
      </w:pPr>
      <w:r w:rsidRPr="00C620DA">
        <w:rPr>
          <w:rFonts w:ascii="Times New Roman" w:hAnsi="Times New Roman" w:cs="Times New Roman"/>
          <w:b/>
        </w:rPr>
        <w:t>Schedule of Employer Contributions</w:t>
      </w:r>
    </w:p>
    <w:p w:rsidR="00B70F1E" w:rsidRPr="00E542BB" w:rsidRDefault="002E2CD3" w:rsidP="00C620DA">
      <w:pPr>
        <w:spacing w:after="0" w:line="240" w:lineRule="auto"/>
        <w:jc w:val="both"/>
        <w:rPr>
          <w:rFonts w:ascii="Times New Roman" w:hAnsi="Times New Roman" w:cs="Times New Roman"/>
          <w:color w:val="0000FF"/>
        </w:rPr>
      </w:pPr>
      <w:r w:rsidRPr="00E542BB">
        <w:rPr>
          <w:rFonts w:ascii="Times New Roman" w:hAnsi="Times New Roman" w:cs="Times New Roman"/>
          <w:b/>
          <w:color w:val="0000FF"/>
        </w:rPr>
        <w:t>c.</w:t>
      </w:r>
      <w:r w:rsidRPr="00E542BB">
        <w:rPr>
          <w:rFonts w:ascii="Times New Roman" w:hAnsi="Times New Roman" w:cs="Times New Roman"/>
          <w:color w:val="0000FF"/>
        </w:rPr>
        <w:t xml:space="preserve"> If an actuarially determined contribution is calculated, a 10-year schedule presenting the following for each year:</w:t>
      </w:r>
    </w:p>
    <w:p w:rsidR="00B70F1E" w:rsidRPr="00E542BB" w:rsidRDefault="002E2CD3" w:rsidP="00C620DA">
      <w:p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(1) The</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actuarially</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determined</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contribution</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of</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the</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employer.</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For</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purposes</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of this schedule, actuarially determined contributions should exclude amounts, if any, associated with payables to the OPEB plan that arose in a prior ﬁscal year and those associated with separately ﬁnanced speciﬁc liabilities of the individual employer to the OPEB plan.</w:t>
      </w:r>
    </w:p>
    <w:p w:rsidR="00B70F1E" w:rsidRPr="00E542BB" w:rsidRDefault="002E2CD3" w:rsidP="00C620DA">
      <w:p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(2) The amount of contributions recognized by the OPEB plan in relation to the actuarially determined contribution of the employer.</w:t>
      </w:r>
      <w:r w:rsidR="00E542BB">
        <w:rPr>
          <w:rFonts w:ascii="Times New Roman" w:hAnsi="Times New Roman" w:cs="Times New Roman"/>
          <w:color w:val="0000FF"/>
        </w:rPr>
        <w:t xml:space="preserve"> </w:t>
      </w:r>
      <w:r w:rsidRPr="00E542BB">
        <w:rPr>
          <w:rFonts w:ascii="Times New Roman" w:hAnsi="Times New Roman" w:cs="Times New Roman"/>
          <w:color w:val="0000FF"/>
        </w:rPr>
        <w:t xml:space="preserve"> For purposes of this schedule, contributions should exclude amounts resulting from contributions recognized by the OPEB plan as noncurrent receivables.</w:t>
      </w:r>
    </w:p>
    <w:p w:rsidR="00B70F1E" w:rsidRPr="00E542BB" w:rsidRDefault="002E2CD3" w:rsidP="00C620DA">
      <w:p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(3) The difference between the actuarially determined contribution of the employer</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and</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the</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amount</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of</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contributions</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recognized</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by</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the</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OPEB</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plan in relation to the actuarially determined contribution of the employer.</w:t>
      </w:r>
    </w:p>
    <w:p w:rsidR="002E2CD3" w:rsidRPr="00E542BB" w:rsidRDefault="002E2CD3" w:rsidP="00C620DA">
      <w:p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(4) The covered-employee payroll.</w:t>
      </w:r>
    </w:p>
    <w:p w:rsidR="00B70F1E" w:rsidRPr="00E542BB" w:rsidRDefault="002E2CD3" w:rsidP="00C620DA">
      <w:pPr>
        <w:spacing w:after="0" w:line="240" w:lineRule="auto"/>
        <w:jc w:val="both"/>
        <w:rPr>
          <w:rFonts w:ascii="Times New Roman" w:hAnsi="Times New Roman" w:cs="Times New Roman"/>
          <w:color w:val="0000FF"/>
        </w:rPr>
      </w:pPr>
      <w:r w:rsidRPr="00E542BB">
        <w:rPr>
          <w:rFonts w:ascii="Times New Roman" w:hAnsi="Times New Roman" w:cs="Times New Roman"/>
          <w:color w:val="0000FF"/>
        </w:rPr>
        <w:t>(5) The amount of contributions recognized by the OPEB plan in relation to the actuarially determined contribution of the employer as a percentage of covered-employee payroll.</w:t>
      </w:r>
    </w:p>
    <w:p w:rsidR="00B70F1E" w:rsidRPr="00E542BB" w:rsidRDefault="002E2CD3" w:rsidP="00C620DA">
      <w:pPr>
        <w:spacing w:after="0" w:line="240" w:lineRule="auto"/>
        <w:jc w:val="both"/>
        <w:rPr>
          <w:rFonts w:ascii="Times New Roman" w:hAnsi="Times New Roman" w:cs="Times New Roman"/>
          <w:color w:val="0000FF"/>
        </w:rPr>
      </w:pPr>
      <w:r w:rsidRPr="00E542BB">
        <w:rPr>
          <w:rFonts w:ascii="Times New Roman" w:hAnsi="Times New Roman" w:cs="Times New Roman"/>
          <w:b/>
          <w:color w:val="0000FF"/>
        </w:rPr>
        <w:t>d.</w:t>
      </w:r>
      <w:r w:rsidRPr="00E542BB">
        <w:rPr>
          <w:rFonts w:ascii="Times New Roman" w:hAnsi="Times New Roman" w:cs="Times New Roman"/>
          <w:color w:val="0000FF"/>
        </w:rPr>
        <w:t xml:space="preserve"> If</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an</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actuarially</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determined</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contribution</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is</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not</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calculated</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and</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the</w:t>
      </w:r>
      <w:r w:rsidR="00B70F1E" w:rsidRPr="00E542BB">
        <w:rPr>
          <w:rFonts w:ascii="Times New Roman" w:hAnsi="Times New Roman" w:cs="Times New Roman"/>
          <w:color w:val="0000FF"/>
        </w:rPr>
        <w:t xml:space="preserve"> </w:t>
      </w:r>
      <w:r w:rsidRPr="00E542BB">
        <w:rPr>
          <w:rFonts w:ascii="Times New Roman" w:hAnsi="Times New Roman" w:cs="Times New Roman"/>
          <w:color w:val="0000FF"/>
        </w:rPr>
        <w:t>contribution requirements of the employer are statutorily or contractually established, a 10-year schedule presenting the following for each year:</w:t>
      </w:r>
    </w:p>
    <w:p w:rsidR="00B70F1E" w:rsidRPr="00E542BB" w:rsidRDefault="002E2CD3" w:rsidP="00C24B02">
      <w:pPr>
        <w:spacing w:after="0" w:line="240" w:lineRule="auto"/>
        <w:ind w:left="720"/>
        <w:jc w:val="both"/>
        <w:rPr>
          <w:rFonts w:ascii="Times New Roman" w:hAnsi="Times New Roman" w:cs="Times New Roman"/>
          <w:color w:val="0000FF"/>
        </w:rPr>
      </w:pPr>
      <w:r w:rsidRPr="00E542BB">
        <w:rPr>
          <w:rFonts w:ascii="Times New Roman" w:hAnsi="Times New Roman" w:cs="Times New Roman"/>
          <w:color w:val="0000FF"/>
        </w:rPr>
        <w:t xml:space="preserve">(1) The statutorily or contractually required employer contribution. </w:t>
      </w:r>
      <w:r w:rsidR="00C24B02">
        <w:rPr>
          <w:rFonts w:ascii="Times New Roman" w:hAnsi="Times New Roman" w:cs="Times New Roman"/>
          <w:color w:val="0000FF"/>
        </w:rPr>
        <w:t xml:space="preserve"> </w:t>
      </w:r>
      <w:r w:rsidRPr="00E542BB">
        <w:rPr>
          <w:rFonts w:ascii="Times New Roman" w:hAnsi="Times New Roman" w:cs="Times New Roman"/>
          <w:color w:val="0000FF"/>
        </w:rPr>
        <w:t>For purposes of this schedule, statutorily or contractually required contributions should exclude amounts, if any, associated with payables to the OPEB plan that arose in a prior ﬁscal year and those associated with separately ﬁnanced speciﬁc liabilities of the individual employer to the OPEB plan.</w:t>
      </w:r>
    </w:p>
    <w:p w:rsidR="00B70F1E" w:rsidRPr="00E542BB" w:rsidRDefault="002E2CD3" w:rsidP="00C24B02">
      <w:pPr>
        <w:spacing w:after="0" w:line="240" w:lineRule="auto"/>
        <w:ind w:left="720"/>
        <w:jc w:val="both"/>
        <w:rPr>
          <w:rFonts w:ascii="Times New Roman" w:hAnsi="Times New Roman" w:cs="Times New Roman"/>
          <w:color w:val="0000FF"/>
        </w:rPr>
      </w:pPr>
      <w:r w:rsidRPr="00E542BB">
        <w:rPr>
          <w:rFonts w:ascii="Times New Roman" w:hAnsi="Times New Roman" w:cs="Times New Roman"/>
          <w:color w:val="0000FF"/>
        </w:rPr>
        <w:t xml:space="preserve">(2) The amount of contributions recognized by the OPEB plan in relation to the statutorily or contractually required employer contribution. </w:t>
      </w:r>
      <w:r w:rsidR="00C24B02">
        <w:rPr>
          <w:rFonts w:ascii="Times New Roman" w:hAnsi="Times New Roman" w:cs="Times New Roman"/>
          <w:color w:val="0000FF"/>
        </w:rPr>
        <w:t xml:space="preserve"> </w:t>
      </w:r>
      <w:r w:rsidRPr="00E542BB">
        <w:rPr>
          <w:rFonts w:ascii="Times New Roman" w:hAnsi="Times New Roman" w:cs="Times New Roman"/>
          <w:color w:val="0000FF"/>
        </w:rPr>
        <w:t>For purposes of this schedule, contributions should exclude amounts resulting from contributions recognized by the OPEB plan as noncurrent receivables.</w:t>
      </w:r>
    </w:p>
    <w:p w:rsidR="00B70F1E" w:rsidRPr="00E542BB" w:rsidRDefault="002E2CD3" w:rsidP="00C24B02">
      <w:pPr>
        <w:spacing w:after="0" w:line="240" w:lineRule="auto"/>
        <w:ind w:left="720"/>
        <w:jc w:val="both"/>
        <w:rPr>
          <w:rFonts w:ascii="Times New Roman" w:hAnsi="Times New Roman" w:cs="Times New Roman"/>
          <w:color w:val="0000FF"/>
        </w:rPr>
      </w:pPr>
      <w:r w:rsidRPr="00E542BB">
        <w:rPr>
          <w:rFonts w:ascii="Times New Roman" w:hAnsi="Times New Roman" w:cs="Times New Roman"/>
          <w:color w:val="0000FF"/>
        </w:rPr>
        <w:t>(3) The difference between the statutorily or contractually required employer contribution and the amount of contributions recognized by the OPEB plan in relation to the statutorily or contractually required employer contribution.</w:t>
      </w:r>
    </w:p>
    <w:p w:rsidR="00B70F1E" w:rsidRPr="00E542BB" w:rsidRDefault="002E2CD3" w:rsidP="00C24B02">
      <w:pPr>
        <w:spacing w:after="0" w:line="240" w:lineRule="auto"/>
        <w:ind w:left="720"/>
        <w:jc w:val="both"/>
        <w:rPr>
          <w:rFonts w:ascii="Times New Roman" w:hAnsi="Times New Roman" w:cs="Times New Roman"/>
          <w:color w:val="0000FF"/>
        </w:rPr>
      </w:pPr>
      <w:r w:rsidRPr="00E542BB">
        <w:rPr>
          <w:rFonts w:ascii="Times New Roman" w:hAnsi="Times New Roman" w:cs="Times New Roman"/>
          <w:color w:val="0000FF"/>
        </w:rPr>
        <w:t>(4) The covered-employee payroll.</w:t>
      </w:r>
    </w:p>
    <w:p w:rsidR="002E2CD3" w:rsidRPr="00E542BB" w:rsidRDefault="002E2CD3" w:rsidP="00C24B02">
      <w:pPr>
        <w:spacing w:after="0" w:line="240" w:lineRule="auto"/>
        <w:ind w:left="720"/>
        <w:jc w:val="both"/>
        <w:rPr>
          <w:rFonts w:ascii="Times New Roman" w:hAnsi="Times New Roman" w:cs="Times New Roman"/>
          <w:color w:val="0000FF"/>
        </w:rPr>
      </w:pPr>
      <w:r w:rsidRPr="00E542BB">
        <w:rPr>
          <w:rFonts w:ascii="Times New Roman" w:hAnsi="Times New Roman" w:cs="Times New Roman"/>
          <w:color w:val="0000FF"/>
        </w:rPr>
        <w:t>(5) The amount of contributions recognized by the OPEB plan in relation to the statutorily or contractually required employer contribution as a percentage of covered-employee payroll.</w:t>
      </w:r>
    </w:p>
    <w:p w:rsidR="00E542BB" w:rsidRDefault="00E542BB" w:rsidP="00C620DA">
      <w:pPr>
        <w:spacing w:after="0" w:line="240" w:lineRule="auto"/>
        <w:jc w:val="both"/>
        <w:rPr>
          <w:rFonts w:ascii="Times New Roman" w:hAnsi="Times New Roman" w:cs="Times New Roman"/>
          <w:b/>
        </w:rPr>
      </w:pPr>
    </w:p>
    <w:p w:rsidR="00635D48" w:rsidRPr="00C620DA" w:rsidRDefault="00635D48" w:rsidP="00C620DA">
      <w:pPr>
        <w:spacing w:after="0" w:line="240" w:lineRule="auto"/>
        <w:jc w:val="both"/>
        <w:rPr>
          <w:rFonts w:ascii="Times New Roman" w:hAnsi="Times New Roman" w:cs="Times New Roman"/>
          <w:b/>
        </w:rPr>
      </w:pPr>
      <w:r w:rsidRPr="00C620DA">
        <w:rPr>
          <w:rFonts w:ascii="Times New Roman" w:hAnsi="Times New Roman" w:cs="Times New Roman"/>
          <w:b/>
        </w:rPr>
        <w:t>Schedule of Investment Returns</w:t>
      </w:r>
    </w:p>
    <w:p w:rsidR="00635D48" w:rsidRPr="00C620DA" w:rsidRDefault="00635D48" w:rsidP="00C620DA">
      <w:pPr>
        <w:spacing w:after="0" w:line="240" w:lineRule="auto"/>
        <w:jc w:val="both"/>
        <w:rPr>
          <w:rFonts w:ascii="Times New Roman" w:hAnsi="Times New Roman" w:cs="Times New Roman"/>
        </w:rPr>
      </w:pPr>
      <w:r w:rsidRPr="00C24B02">
        <w:rPr>
          <w:rFonts w:ascii="Times New Roman" w:hAnsi="Times New Roman" w:cs="Times New Roman"/>
          <w:color w:val="0000FF"/>
        </w:rPr>
        <w:t>A 10-year schedule presenting for each fiscal year the annual money weighted rate of return on OPEB plan investments</w:t>
      </w:r>
      <w:r w:rsidRPr="00C620DA">
        <w:rPr>
          <w:rFonts w:ascii="Times New Roman" w:hAnsi="Times New Roman" w:cs="Times New Roman"/>
        </w:rPr>
        <w:t>.</w:t>
      </w:r>
    </w:p>
    <w:p w:rsidR="00C24B02" w:rsidRDefault="00C24B02" w:rsidP="00C620DA">
      <w:pPr>
        <w:spacing w:after="0" w:line="240" w:lineRule="auto"/>
        <w:jc w:val="both"/>
        <w:rPr>
          <w:rFonts w:ascii="Times New Roman" w:hAnsi="Times New Roman" w:cs="Times New Roman"/>
          <w:b/>
        </w:rPr>
      </w:pPr>
    </w:p>
    <w:p w:rsidR="002E2CD3" w:rsidRPr="00C620DA" w:rsidRDefault="002E2CD3" w:rsidP="00C620DA">
      <w:pPr>
        <w:spacing w:after="0" w:line="240" w:lineRule="auto"/>
        <w:jc w:val="both"/>
        <w:rPr>
          <w:rFonts w:ascii="Times New Roman" w:hAnsi="Times New Roman" w:cs="Times New Roman"/>
          <w:b/>
        </w:rPr>
      </w:pPr>
      <w:r w:rsidRPr="00C620DA">
        <w:rPr>
          <w:rFonts w:ascii="Times New Roman" w:hAnsi="Times New Roman" w:cs="Times New Roman"/>
          <w:b/>
        </w:rPr>
        <w:t>Notes to Required Schedules</w:t>
      </w:r>
    </w:p>
    <w:p w:rsidR="00AC3177" w:rsidRPr="00C24B02" w:rsidRDefault="002E2CD3" w:rsidP="00C620DA">
      <w:pPr>
        <w:spacing w:after="0" w:line="240" w:lineRule="auto"/>
        <w:jc w:val="both"/>
        <w:rPr>
          <w:rFonts w:ascii="Times New Roman" w:hAnsi="Times New Roman" w:cs="Times New Roman"/>
          <w:color w:val="0000FF"/>
        </w:rPr>
      </w:pPr>
      <w:r w:rsidRPr="00C24B02">
        <w:rPr>
          <w:rFonts w:ascii="Times New Roman" w:hAnsi="Times New Roman" w:cs="Times New Roman"/>
          <w:color w:val="0000FF"/>
        </w:rPr>
        <w:t>Signiﬁcant methods and assumptions used in calculating the actuarially determined contributions, if any, should be presented as notes to the schedule</w:t>
      </w:r>
      <w:r w:rsidR="00DD17B6" w:rsidRPr="00C24B02">
        <w:rPr>
          <w:rFonts w:ascii="Times New Roman" w:hAnsi="Times New Roman" w:cs="Times New Roman"/>
          <w:color w:val="0000FF"/>
        </w:rPr>
        <w:t>.</w:t>
      </w:r>
      <w:r w:rsidR="0067783D" w:rsidRPr="00C24B02">
        <w:rPr>
          <w:rFonts w:ascii="Times New Roman" w:hAnsi="Times New Roman" w:cs="Times New Roman"/>
          <w:color w:val="0000FF"/>
        </w:rPr>
        <w:t xml:space="preserve">  </w:t>
      </w:r>
      <w:r w:rsidRPr="00C24B02">
        <w:rPr>
          <w:rFonts w:ascii="Times New Roman" w:hAnsi="Times New Roman" w:cs="Times New Roman"/>
          <w:color w:val="0000FF"/>
        </w:rPr>
        <w:t>In addition, for each of the schedules required, information should be presented about factors that signiﬁcantly affect trends in the amounts reported (for example, changes of beneﬁt terms, changes in the size or composition of the population covered by the beneﬁt terms, or the use of different assumptions).</w:t>
      </w:r>
      <w:r w:rsidR="00C24B02">
        <w:rPr>
          <w:rFonts w:ascii="Times New Roman" w:hAnsi="Times New Roman" w:cs="Times New Roman"/>
          <w:color w:val="0000FF"/>
        </w:rPr>
        <w:t xml:space="preserve"> </w:t>
      </w:r>
      <w:r w:rsidRPr="00C24B02">
        <w:rPr>
          <w:rFonts w:ascii="Times New Roman" w:hAnsi="Times New Roman" w:cs="Times New Roman"/>
          <w:color w:val="0000FF"/>
        </w:rPr>
        <w:t xml:space="preserve"> Information about investment</w:t>
      </w:r>
      <w:r w:rsidR="00DD17B6" w:rsidRPr="00C24B02">
        <w:rPr>
          <w:rFonts w:ascii="Times New Roman" w:hAnsi="Times New Roman" w:cs="Times New Roman"/>
          <w:color w:val="0000FF"/>
        </w:rPr>
        <w:t xml:space="preserve"> </w:t>
      </w:r>
      <w:r w:rsidRPr="00C24B02">
        <w:rPr>
          <w:rFonts w:ascii="Times New Roman" w:hAnsi="Times New Roman" w:cs="Times New Roman"/>
          <w:color w:val="0000FF"/>
        </w:rPr>
        <w:t xml:space="preserve">related factors that signiﬁcantly affect trends in the amounts reported should be limited to those factors over which the OPEB plan or the participating governments have inﬂuence (for example, changes in investment policies). </w:t>
      </w:r>
      <w:r w:rsidR="00C24B02">
        <w:rPr>
          <w:rFonts w:ascii="Times New Roman" w:hAnsi="Times New Roman" w:cs="Times New Roman"/>
          <w:color w:val="0000FF"/>
        </w:rPr>
        <w:t xml:space="preserve"> </w:t>
      </w:r>
      <w:r w:rsidRPr="00C24B02">
        <w:rPr>
          <w:rFonts w:ascii="Times New Roman" w:hAnsi="Times New Roman" w:cs="Times New Roman"/>
          <w:color w:val="0000FF"/>
        </w:rPr>
        <w:t>Information about external, economic factors (for ex</w:t>
      </w:r>
      <w:r w:rsidR="002363DB" w:rsidRPr="00C24B02">
        <w:rPr>
          <w:rFonts w:ascii="Times New Roman" w:hAnsi="Times New Roman" w:cs="Times New Roman"/>
          <w:color w:val="0000FF"/>
        </w:rPr>
        <w:t xml:space="preserve">ample, changes in market prices </w:t>
      </w:r>
      <w:r w:rsidRPr="00C24B02">
        <w:rPr>
          <w:rFonts w:ascii="Times New Roman" w:hAnsi="Times New Roman" w:cs="Times New Roman"/>
          <w:color w:val="0000FF"/>
        </w:rPr>
        <w:t>should not be presented.</w:t>
      </w:r>
      <w:r w:rsidR="00C24B02">
        <w:rPr>
          <w:rFonts w:ascii="Times New Roman" w:hAnsi="Times New Roman" w:cs="Times New Roman"/>
          <w:color w:val="0000FF"/>
        </w:rPr>
        <w:t xml:space="preserve"> </w:t>
      </w:r>
      <w:r w:rsidRPr="00C24B02">
        <w:rPr>
          <w:rFonts w:ascii="Times New Roman" w:hAnsi="Times New Roman" w:cs="Times New Roman"/>
          <w:color w:val="0000FF"/>
        </w:rPr>
        <w:t xml:space="preserve"> (The amounts presented for prior years should not be restated for the effects of changes</w:t>
      </w:r>
      <w:r w:rsidR="005D5789">
        <w:rPr>
          <w:rFonts w:ascii="Times New Roman" w:hAnsi="Times New Roman" w:cs="Times New Roman"/>
          <w:color w:val="0000FF"/>
        </w:rPr>
        <w:t xml:space="preserve"> – </w:t>
      </w:r>
      <w:r w:rsidRPr="00C24B02">
        <w:rPr>
          <w:rFonts w:ascii="Times New Roman" w:hAnsi="Times New Roman" w:cs="Times New Roman"/>
          <w:color w:val="0000FF"/>
        </w:rPr>
        <w:t>for example, changes of beneﬁt terms or changes of assumptions</w:t>
      </w:r>
      <w:r w:rsidR="00C24B02">
        <w:rPr>
          <w:rFonts w:ascii="Times New Roman" w:hAnsi="Times New Roman" w:cs="Times New Roman"/>
          <w:color w:val="0000FF"/>
        </w:rPr>
        <w:t xml:space="preserve"> – </w:t>
      </w:r>
      <w:r w:rsidRPr="00C24B02">
        <w:rPr>
          <w:rFonts w:ascii="Times New Roman" w:hAnsi="Times New Roman" w:cs="Times New Roman"/>
          <w:color w:val="0000FF"/>
        </w:rPr>
        <w:t>that occurred subsequent to the measurement date of that information.)</w:t>
      </w:r>
    </w:p>
    <w:sectPr w:rsidR="00AC3177" w:rsidRPr="00C24B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70D" w:rsidRDefault="0078370D" w:rsidP="0078370D">
      <w:pPr>
        <w:spacing w:after="0" w:line="240" w:lineRule="auto"/>
      </w:pPr>
      <w:r>
        <w:separator/>
      </w:r>
    </w:p>
  </w:endnote>
  <w:endnote w:type="continuationSeparator" w:id="0">
    <w:p w:rsidR="0078370D" w:rsidRDefault="0078370D" w:rsidP="0078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70D" w:rsidRDefault="0078370D" w:rsidP="0078370D">
      <w:pPr>
        <w:spacing w:after="0" w:line="240" w:lineRule="auto"/>
      </w:pPr>
      <w:r>
        <w:separator/>
      </w:r>
    </w:p>
  </w:footnote>
  <w:footnote w:type="continuationSeparator" w:id="0">
    <w:p w:rsidR="0078370D" w:rsidRDefault="0078370D" w:rsidP="00783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127"/>
    <w:multiLevelType w:val="hybridMultilevel"/>
    <w:tmpl w:val="DDEEB780"/>
    <w:lvl w:ilvl="0" w:tplc="16F06C8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D24919"/>
    <w:multiLevelType w:val="hybridMultilevel"/>
    <w:tmpl w:val="81702792"/>
    <w:lvl w:ilvl="0" w:tplc="8A3CB5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34939"/>
    <w:multiLevelType w:val="hybridMultilevel"/>
    <w:tmpl w:val="9E2A1A46"/>
    <w:lvl w:ilvl="0" w:tplc="43603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F3BAF"/>
    <w:multiLevelType w:val="hybridMultilevel"/>
    <w:tmpl w:val="FF4831DC"/>
    <w:lvl w:ilvl="0" w:tplc="E0C8D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D6623"/>
    <w:multiLevelType w:val="hybridMultilevel"/>
    <w:tmpl w:val="0E1227F4"/>
    <w:lvl w:ilvl="0" w:tplc="401E26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937AF"/>
    <w:multiLevelType w:val="hybridMultilevel"/>
    <w:tmpl w:val="53F65E7E"/>
    <w:lvl w:ilvl="0" w:tplc="9DB6C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EB"/>
    <w:rsid w:val="000B0CA2"/>
    <w:rsid w:val="000B155A"/>
    <w:rsid w:val="000B31EC"/>
    <w:rsid w:val="000D7292"/>
    <w:rsid w:val="00100096"/>
    <w:rsid w:val="001621CA"/>
    <w:rsid w:val="00171042"/>
    <w:rsid w:val="001D5342"/>
    <w:rsid w:val="00206258"/>
    <w:rsid w:val="002363DB"/>
    <w:rsid w:val="0026687B"/>
    <w:rsid w:val="002C1DF1"/>
    <w:rsid w:val="002E2CD3"/>
    <w:rsid w:val="002F204A"/>
    <w:rsid w:val="00365903"/>
    <w:rsid w:val="00365DBA"/>
    <w:rsid w:val="003906EB"/>
    <w:rsid w:val="004A4C05"/>
    <w:rsid w:val="005D5789"/>
    <w:rsid w:val="00610929"/>
    <w:rsid w:val="00635D48"/>
    <w:rsid w:val="0067783D"/>
    <w:rsid w:val="006E3A1B"/>
    <w:rsid w:val="00752A42"/>
    <w:rsid w:val="00753099"/>
    <w:rsid w:val="007611C6"/>
    <w:rsid w:val="0078370D"/>
    <w:rsid w:val="007E300F"/>
    <w:rsid w:val="00882D50"/>
    <w:rsid w:val="008867A2"/>
    <w:rsid w:val="009138CB"/>
    <w:rsid w:val="00932CA1"/>
    <w:rsid w:val="00953652"/>
    <w:rsid w:val="00966902"/>
    <w:rsid w:val="00A27EF6"/>
    <w:rsid w:val="00AC3177"/>
    <w:rsid w:val="00AF38B6"/>
    <w:rsid w:val="00B1313F"/>
    <w:rsid w:val="00B70F1E"/>
    <w:rsid w:val="00B77CC2"/>
    <w:rsid w:val="00B82605"/>
    <w:rsid w:val="00BA02CA"/>
    <w:rsid w:val="00BD7F95"/>
    <w:rsid w:val="00C24B02"/>
    <w:rsid w:val="00C620DA"/>
    <w:rsid w:val="00C85F4F"/>
    <w:rsid w:val="00C94DEF"/>
    <w:rsid w:val="00CC5FEB"/>
    <w:rsid w:val="00DD17B6"/>
    <w:rsid w:val="00E542BB"/>
    <w:rsid w:val="00EC350B"/>
    <w:rsid w:val="00F4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57EEB6"/>
  <w15:chartTrackingRefBased/>
  <w15:docId w15:val="{C799270D-5C89-4FD8-9ECC-5F9149AE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CA1"/>
    <w:pPr>
      <w:ind w:left="720"/>
      <w:contextualSpacing/>
    </w:pPr>
  </w:style>
  <w:style w:type="paragraph" w:styleId="BalloonText">
    <w:name w:val="Balloon Text"/>
    <w:basedOn w:val="Normal"/>
    <w:link w:val="BalloonTextChar"/>
    <w:uiPriority w:val="99"/>
    <w:semiHidden/>
    <w:unhideWhenUsed/>
    <w:rsid w:val="00100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096"/>
    <w:rPr>
      <w:rFonts w:ascii="Segoe UI" w:hAnsi="Segoe UI" w:cs="Segoe UI"/>
      <w:sz w:val="18"/>
      <w:szCs w:val="18"/>
    </w:rPr>
  </w:style>
  <w:style w:type="paragraph" w:styleId="Header">
    <w:name w:val="header"/>
    <w:basedOn w:val="Normal"/>
    <w:link w:val="HeaderChar"/>
    <w:uiPriority w:val="99"/>
    <w:unhideWhenUsed/>
    <w:rsid w:val="00783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70D"/>
  </w:style>
  <w:style w:type="paragraph" w:styleId="Footer">
    <w:name w:val="footer"/>
    <w:basedOn w:val="Normal"/>
    <w:link w:val="FooterChar"/>
    <w:uiPriority w:val="99"/>
    <w:unhideWhenUsed/>
    <w:rsid w:val="00783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70D"/>
  </w:style>
  <w:style w:type="paragraph" w:styleId="Title">
    <w:name w:val="Title"/>
    <w:basedOn w:val="Normal"/>
    <w:link w:val="TitleChar"/>
    <w:qFormat/>
    <w:rsid w:val="00C620DA"/>
    <w:pPr>
      <w:widowControl w:val="0"/>
      <w:suppressAutoHyphens/>
      <w:spacing w:after="0" w:line="240" w:lineRule="auto"/>
      <w:jc w:val="center"/>
    </w:pPr>
    <w:rPr>
      <w:rFonts w:ascii="Times New Roman" w:eastAsia="Times New Roman" w:hAnsi="Times New Roman" w:cs="Times New Roman"/>
      <w:b/>
      <w:snapToGrid w:val="0"/>
      <w:sz w:val="20"/>
      <w:szCs w:val="20"/>
    </w:rPr>
  </w:style>
  <w:style w:type="character" w:customStyle="1" w:styleId="TitleChar">
    <w:name w:val="Title Char"/>
    <w:basedOn w:val="DefaultParagraphFont"/>
    <w:link w:val="Title"/>
    <w:rsid w:val="00C620DA"/>
    <w:rPr>
      <w:rFonts w:ascii="Times New Roman" w:eastAsia="Times New Roman" w:hAnsi="Times New Roman" w:cs="Times New Roman"/>
      <w:b/>
      <w:snapToGrid w:val="0"/>
      <w:sz w:val="20"/>
      <w:szCs w:val="20"/>
    </w:rPr>
  </w:style>
  <w:style w:type="character" w:styleId="Hyperlink">
    <w:name w:val="Hyperlink"/>
    <w:basedOn w:val="DefaultParagraphFont"/>
    <w:uiPriority w:val="99"/>
    <w:unhideWhenUsed/>
    <w:rsid w:val="00A27E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o.wa.gov/gaap_p4_rsi-opebqualtrus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WA State Auditor's Office</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Debra (SAO)</dc:creator>
  <cp:keywords/>
  <dc:description/>
  <cp:lastModifiedBy>Walter, Heidi (SAO)</cp:lastModifiedBy>
  <cp:revision>3</cp:revision>
  <cp:lastPrinted>2018-04-12T23:14:00Z</cp:lastPrinted>
  <dcterms:created xsi:type="dcterms:W3CDTF">2018-11-26T18:31:00Z</dcterms:created>
  <dcterms:modified xsi:type="dcterms:W3CDTF">2019-02-25T23:13:00Z</dcterms:modified>
</cp:coreProperties>
</file>